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DF" w:rsidRDefault="00E349DF" w:rsidP="00E349DF">
      <w:pPr>
        <w:pStyle w:val="NormalWeb"/>
        <w:bidi/>
        <w:spacing w:before="0" w:beforeAutospacing="0" w:after="0" w:afterAutospacing="0" w:line="360" w:lineRule="auto"/>
        <w:jc w:val="center"/>
        <w:rPr>
          <w:rFonts w:ascii="Arial" w:hAnsi="Arial" w:cs="Arial" w:hint="cs"/>
          <w:sz w:val="22"/>
          <w:szCs w:val="22"/>
          <w:u w:val="single"/>
          <w:rtl/>
        </w:rPr>
      </w:pPr>
      <w:r>
        <w:rPr>
          <w:rFonts w:ascii="Arial" w:hAnsi="Arial" w:cs="Arial"/>
          <w:sz w:val="22"/>
          <w:szCs w:val="22"/>
          <w:u w:val="single"/>
          <w:rtl/>
        </w:rPr>
        <w:t>נספח - בעד ונגד גירוש ילדי עובדים זרים – מתוך אתר תנועת הצופים.</w:t>
      </w:r>
    </w:p>
    <w:p w:rsidR="00E349DF" w:rsidRDefault="00E349DF" w:rsidP="00E349DF">
      <w:pPr>
        <w:pStyle w:val="NormalWeb"/>
        <w:bidi/>
        <w:spacing w:before="0" w:beforeAutospacing="0" w:after="0" w:afterAutospacing="0" w:line="360" w:lineRule="auto"/>
        <w:rPr>
          <w:rFonts w:ascii="Arial" w:hAnsi="Arial" w:cs="Arial"/>
          <w:sz w:val="22"/>
          <w:szCs w:val="22"/>
          <w:rtl/>
        </w:rPr>
      </w:pPr>
      <w:r>
        <w:rPr>
          <w:rFonts w:ascii="Arial" w:hAnsi="Arial" w:cs="Arial"/>
          <w:sz w:val="22"/>
          <w:szCs w:val="22"/>
          <w:rtl/>
        </w:rPr>
        <w:t>נושא העובדים הזרים הפך למשמעותי בשל הנסיבות</w:t>
      </w:r>
      <w:r>
        <w:rPr>
          <w:rFonts w:ascii="Arial" w:hAnsi="Arial" w:cs="Arial"/>
          <w:sz w:val="22"/>
          <w:szCs w:val="22"/>
        </w:rPr>
        <w:t xml:space="preserve"> </w:t>
      </w:r>
      <w:r>
        <w:rPr>
          <w:rFonts w:ascii="Arial" w:hAnsi="Arial" w:cs="Arial"/>
          <w:sz w:val="22"/>
          <w:szCs w:val="22"/>
          <w:rtl/>
        </w:rPr>
        <w:t>המיוחדות של ראשית שנות התשעים</w:t>
      </w:r>
      <w:r>
        <w:rPr>
          <w:rFonts w:ascii="Arial" w:hAnsi="Arial" w:cs="Arial"/>
          <w:sz w:val="22"/>
          <w:szCs w:val="22"/>
        </w:rPr>
        <w:t xml:space="preserve">. </w:t>
      </w:r>
      <w:r>
        <w:rPr>
          <w:rFonts w:ascii="Arial" w:hAnsi="Arial" w:cs="Arial"/>
          <w:sz w:val="22"/>
          <w:szCs w:val="22"/>
          <w:rtl/>
        </w:rPr>
        <w:t>בתקופה זו נוצר ביקוש גובר</w:t>
      </w:r>
      <w:r>
        <w:rPr>
          <w:rFonts w:ascii="Arial" w:hAnsi="Arial" w:cs="Arial"/>
          <w:sz w:val="22"/>
          <w:szCs w:val="22"/>
        </w:rPr>
        <w:t xml:space="preserve"> </w:t>
      </w:r>
      <w:r>
        <w:rPr>
          <w:rFonts w:ascii="Arial" w:hAnsi="Arial" w:cs="Arial"/>
          <w:sz w:val="22"/>
          <w:szCs w:val="22"/>
          <w:rtl/>
        </w:rPr>
        <w:t>לעובדים בענף הבנייה; אולם הפועלים הפלסטינים שמילאו באופן מסורתי את הביקוש לא</w:t>
      </w:r>
      <w:r>
        <w:rPr>
          <w:rFonts w:ascii="Arial" w:hAnsi="Arial" w:cs="Arial"/>
          <w:sz w:val="22"/>
          <w:szCs w:val="22"/>
        </w:rPr>
        <w:t xml:space="preserve"> </w:t>
      </w:r>
      <w:r>
        <w:rPr>
          <w:rFonts w:ascii="Arial" w:hAnsi="Arial" w:cs="Arial"/>
          <w:sz w:val="22"/>
          <w:szCs w:val="22"/>
          <w:rtl/>
        </w:rPr>
        <w:t>יכלו לעשות כן בשל המצב הביטחוני (שלהי האינתיפאדה הראשונה והטלת סגרים תכופים על</w:t>
      </w:r>
      <w:r>
        <w:rPr>
          <w:rFonts w:ascii="Arial" w:hAnsi="Arial" w:cs="Arial"/>
          <w:sz w:val="22"/>
          <w:szCs w:val="22"/>
        </w:rPr>
        <w:t xml:space="preserve"> </w:t>
      </w:r>
      <w:r>
        <w:rPr>
          <w:rFonts w:ascii="Arial" w:hAnsi="Arial" w:cs="Arial"/>
          <w:sz w:val="22"/>
          <w:szCs w:val="22"/>
          <w:rtl/>
        </w:rPr>
        <w:t>שטחי יש"ע). כדי לענות על המחסור בידיים עובדות הונפקו אישורים להעסקת עובדים זרים</w:t>
      </w:r>
      <w:r>
        <w:rPr>
          <w:rFonts w:ascii="Arial" w:hAnsi="Arial" w:cs="Arial"/>
          <w:sz w:val="22"/>
          <w:szCs w:val="22"/>
        </w:rPr>
        <w:t xml:space="preserve">. </w:t>
      </w:r>
      <w:r>
        <w:rPr>
          <w:rFonts w:ascii="Arial" w:hAnsi="Arial" w:cs="Arial"/>
          <w:sz w:val="22"/>
          <w:szCs w:val="22"/>
          <w:rtl/>
        </w:rPr>
        <w:t>במהלך שנות התשעים התרחבו האישורים גם לענפי החקלאות, הסיעוד והתיירות</w:t>
      </w:r>
      <w:r>
        <w:rPr>
          <w:rFonts w:ascii="Arial" w:hAnsi="Arial" w:cs="Arial"/>
          <w:sz w:val="22"/>
          <w:szCs w:val="22"/>
        </w:rPr>
        <w:t>. </w:t>
      </w:r>
    </w:p>
    <w:p w:rsidR="00E349DF" w:rsidRDefault="00E349DF" w:rsidP="00E349DF">
      <w:pPr>
        <w:spacing w:line="360" w:lineRule="auto"/>
        <w:rPr>
          <w:rFonts w:ascii="Arial" w:hAnsi="Arial" w:cs="Arial"/>
          <w:sz w:val="22"/>
          <w:szCs w:val="22"/>
        </w:rPr>
      </w:pPr>
      <w:r>
        <w:rPr>
          <w:rFonts w:ascii="Arial" w:hAnsi="Arial" w:cs="Arial"/>
          <w:sz w:val="22"/>
          <w:szCs w:val="22"/>
          <w:rtl/>
        </w:rPr>
        <w:t xml:space="preserve">תופעת העובדים הזרים הפכה לבעייתית רק לאחר שהרשויות נוכחו כי רבים מן העובדים נותרו בישראל גם לאחר שפגה אשרת העבודה שלהם ולהם כיום יש גם ילדים אשר נולדו בארץ. אך לא בכך תם העניין, בנוסף, נפוצה והולכת תופעת הזרים המסתננים אל תחומי מדינת ישראל דרך הגבול המצרי. </w:t>
      </w:r>
    </w:p>
    <w:p w:rsidR="00E349DF" w:rsidRDefault="00E349DF" w:rsidP="00E349DF">
      <w:pPr>
        <w:tabs>
          <w:tab w:val="left" w:pos="1349"/>
        </w:tabs>
        <w:spacing w:line="360" w:lineRule="auto"/>
        <w:rPr>
          <w:rFonts w:ascii="Arial" w:hAnsi="Arial" w:cs="Arial"/>
          <w:sz w:val="22"/>
          <w:szCs w:val="22"/>
        </w:rPr>
      </w:pPr>
      <w:r>
        <w:rPr>
          <w:rFonts w:ascii="Arial" w:hAnsi="Arial" w:cs="Arial"/>
          <w:sz w:val="22"/>
          <w:szCs w:val="22"/>
          <w:rtl/>
        </w:rPr>
        <w:t>בעשור האחרון ניסו כל הממשלות להתמודד עם בעיית הזרים באמצעות מדיניות של הקטנת מספרם - הן על ידי צמצום מספר אשרות העבודה והן על-ידי הגברת הפיקוח והאכיפה על שוהים לא-חוקיים וגירושם מן הארץ</w:t>
      </w:r>
      <w:r>
        <w:rPr>
          <w:rFonts w:ascii="Arial" w:hAnsi="Arial" w:cs="Arial"/>
          <w:sz w:val="22"/>
          <w:szCs w:val="22"/>
        </w:rPr>
        <w:t>.</w:t>
      </w:r>
      <w:r>
        <w:rPr>
          <w:rFonts w:ascii="Arial" w:hAnsi="Arial" w:cs="Arial"/>
          <w:sz w:val="22"/>
          <w:szCs w:val="22"/>
          <w:rtl/>
        </w:rPr>
        <w:t xml:space="preserve"> אולם למרות התיקונים לא ניכר צמצום במספר הזרים הלא-חוקיים</w:t>
      </w:r>
      <w:r>
        <w:rPr>
          <w:rFonts w:ascii="Arial" w:hAnsi="Arial" w:cs="Arial"/>
          <w:sz w:val="22"/>
          <w:szCs w:val="22"/>
        </w:rPr>
        <w:t>.</w:t>
      </w:r>
      <w:r>
        <w:rPr>
          <w:rFonts w:ascii="Arial" w:hAnsi="Arial" w:cs="Arial"/>
          <w:sz w:val="22"/>
          <w:szCs w:val="22"/>
          <w:rtl/>
        </w:rPr>
        <w:t xml:space="preserve"> (מקור: </w:t>
      </w:r>
      <w:hyperlink r:id="rId5" w:history="1">
        <w:r>
          <w:rPr>
            <w:rStyle w:val="Hyperlink"/>
            <w:rFonts w:ascii="Arial" w:hAnsi="Arial" w:cs="Arial"/>
            <w:color w:val="800080"/>
            <w:sz w:val="22"/>
            <w:szCs w:val="22"/>
            <w:rtl/>
          </w:rPr>
          <w:t>המכון הישראלי לדמוקרטיה</w:t>
        </w:r>
      </w:hyperlink>
      <w:r>
        <w:rPr>
          <w:rFonts w:ascii="Arial" w:hAnsi="Arial" w:cs="Arial"/>
          <w:sz w:val="22"/>
          <w:szCs w:val="22"/>
          <w:rtl/>
        </w:rPr>
        <w:t>)</w:t>
      </w:r>
    </w:p>
    <w:p w:rsidR="00E349DF" w:rsidRDefault="00E349DF" w:rsidP="00E349DF">
      <w:pPr>
        <w:spacing w:line="360" w:lineRule="auto"/>
        <w:rPr>
          <w:rFonts w:ascii="Arial" w:hAnsi="Arial" w:cs="Arial"/>
          <w:sz w:val="22"/>
          <w:szCs w:val="22"/>
          <w:rtl/>
        </w:rPr>
      </w:pPr>
      <w:r>
        <w:rPr>
          <w:rFonts w:ascii="Arial" w:hAnsi="Arial" w:cs="Arial"/>
          <w:sz w:val="22"/>
          <w:szCs w:val="22"/>
          <w:rtl/>
        </w:rPr>
        <w:t xml:space="preserve">   </w:t>
      </w:r>
    </w:p>
    <w:p w:rsidR="00E349DF" w:rsidRDefault="00E349DF" w:rsidP="00E349DF">
      <w:pPr>
        <w:spacing w:line="360" w:lineRule="auto"/>
        <w:rPr>
          <w:rFonts w:ascii="Arial" w:hAnsi="Arial" w:cs="Arial"/>
          <w:sz w:val="22"/>
          <w:szCs w:val="22"/>
          <w:rtl/>
        </w:rPr>
      </w:pPr>
      <w:r>
        <w:rPr>
          <w:rFonts w:ascii="Arial" w:hAnsi="Arial" w:cs="Arial"/>
          <w:sz w:val="22"/>
          <w:szCs w:val="22"/>
          <w:rtl/>
        </w:rPr>
        <w:t> </w:t>
      </w:r>
      <w:r>
        <w:rPr>
          <w:rFonts w:ascii="Arial" w:hAnsi="Arial" w:cs="Arial"/>
          <w:b/>
          <w:bCs/>
          <w:sz w:val="22"/>
          <w:szCs w:val="22"/>
          <w:rtl/>
        </w:rPr>
        <w:t>ריכזנו עבורכם מספר מהטענות שהועלו בתקשורת בימים האחרונים. עכשיו הגיע הזמן להשמיע את קולכם ולתת דעתכם האם אתם בעד או נגד גירוש ילדי העובדים הזרים ואולי להציג טיעונים נוספים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E349DF" w:rsidRPr="00722368" w:rsidTr="00FE45E7">
        <w:tc>
          <w:tcPr>
            <w:tcW w:w="4927" w:type="dxa"/>
            <w:tcBorders>
              <w:top w:val="single" w:sz="4" w:space="0" w:color="auto"/>
              <w:left w:val="single" w:sz="4" w:space="0" w:color="auto"/>
              <w:bottom w:val="single" w:sz="4" w:space="0" w:color="auto"/>
              <w:right w:val="single" w:sz="4" w:space="0" w:color="auto"/>
            </w:tcBorders>
            <w:shd w:val="clear" w:color="auto" w:fill="auto"/>
          </w:tcPr>
          <w:p w:rsidR="00E349DF" w:rsidRPr="00722368" w:rsidRDefault="00E349DF" w:rsidP="00FE45E7">
            <w:pPr>
              <w:spacing w:line="360" w:lineRule="auto"/>
              <w:jc w:val="center"/>
              <w:rPr>
                <w:rFonts w:ascii="Arial" w:hAnsi="Arial" w:cs="Arial"/>
                <w:sz w:val="22"/>
                <w:szCs w:val="22"/>
                <w:u w:val="single"/>
              </w:rPr>
            </w:pPr>
            <w:r w:rsidRPr="00722368">
              <w:rPr>
                <w:rFonts w:ascii="Arial" w:hAnsi="Arial" w:cs="Arial"/>
                <w:b/>
                <w:bCs/>
                <w:sz w:val="22"/>
                <w:szCs w:val="22"/>
                <w:u w:val="single"/>
                <w:rtl/>
              </w:rPr>
              <w:t>טיעונים בעד גירוש ילדי עובדים זרים</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349DF" w:rsidRPr="00722368" w:rsidRDefault="00E349DF" w:rsidP="00FE45E7">
            <w:pPr>
              <w:spacing w:line="360" w:lineRule="auto"/>
              <w:jc w:val="center"/>
              <w:rPr>
                <w:rFonts w:ascii="Arial" w:hAnsi="Arial" w:cs="Arial"/>
                <w:sz w:val="22"/>
                <w:szCs w:val="22"/>
                <w:u w:val="single"/>
              </w:rPr>
            </w:pPr>
            <w:r w:rsidRPr="00722368">
              <w:rPr>
                <w:rFonts w:ascii="Arial" w:hAnsi="Arial" w:cs="Arial"/>
                <w:b/>
                <w:bCs/>
                <w:sz w:val="22"/>
                <w:szCs w:val="22"/>
                <w:u w:val="single"/>
                <w:rtl/>
              </w:rPr>
              <w:t>טיעונים נגד גירוש ילדי עובדים זרים</w:t>
            </w:r>
          </w:p>
        </w:tc>
      </w:tr>
      <w:tr w:rsidR="00E349DF" w:rsidRPr="00722368" w:rsidTr="00FE45E7">
        <w:tc>
          <w:tcPr>
            <w:tcW w:w="4927" w:type="dxa"/>
            <w:tcBorders>
              <w:top w:val="single" w:sz="4" w:space="0" w:color="auto"/>
              <w:left w:val="single" w:sz="4" w:space="0" w:color="auto"/>
              <w:bottom w:val="single" w:sz="4" w:space="0" w:color="auto"/>
              <w:right w:val="single" w:sz="4" w:space="0" w:color="auto"/>
            </w:tcBorders>
            <w:shd w:val="clear" w:color="auto" w:fill="auto"/>
          </w:tcPr>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&gt; מדינת ישראל הינה מדינה יהודית, האם אנו באמת רוצים בעידוד ההתבוללות של העם היהודי בתוך מדינת ישראל? חשבו על הבעיה הדמוגרפית שתהיה כאן בעוד 20 שנה. כבר היום יש בעיה עם אותם עולים ומהגרים שאינם יהודיים.</w:t>
            </w:r>
          </w:p>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 &gt; לעיתים מדובר בילדים שנולדו למהגרים לא חוקיים. האם עצם הגעתם לכאן בדרך לא חוקית מכשירה את אזרחותם של ילדיהם? עצם אישור העניין ייתן עידוד למהגרים נוספים להגיע לישראל וגם ככה לא כל כך קשה להסתנן לישראל.</w:t>
            </w:r>
          </w:p>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 &gt; בעצם עניין זה אנחנו יוצרים פערי מעמדות נוספים בתוך החברה הישראלית. בדיוק כמו בארצות הברית, גם אצלנו יהיו ילדים אלו אזרחים סוג ב' ובבגרותם יקבלו עדיפות נמוכה יותר מול ישראלי "צבר".</w:t>
            </w:r>
          </w:p>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 &gt; חלק מהורי הילדים הרי יהיו בכל זאת מגורשים גם אם ילדיהם יזכו להישאר. במקרים רבים הילדים נמסרים לידי רשויות הרווחה. האם כך יש לאשר גדילתם של אותם ילדים במדינת ישראל? יש גם מצב שהם יתדרדרו לפשיעה.</w:t>
            </w:r>
          </w:p>
          <w:p w:rsidR="00E349DF" w:rsidRPr="00722368" w:rsidRDefault="00E349DF" w:rsidP="00FE45E7">
            <w:pPr>
              <w:spacing w:line="360" w:lineRule="auto"/>
              <w:rPr>
                <w:rFonts w:ascii="Arial" w:hAnsi="Arial" w:cs="Arial"/>
                <w:sz w:val="22"/>
                <w:szCs w:val="22"/>
              </w:rPr>
            </w:pPr>
            <w:r w:rsidRPr="00722368">
              <w:rPr>
                <w:rFonts w:ascii="Arial" w:hAnsi="Arial" w:cs="Arial"/>
                <w:sz w:val="22"/>
                <w:szCs w:val="22"/>
                <w:rtl/>
              </w:rPr>
              <w:t>  &gt; הנתונים לא מדויקים. יש מדינות קולטות לאותם מהגרים לא חוקיים על ילדיהם.</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&gt; העובדים הזרים נטלו את מקומם של העובדים הפלסטינים, לכן אין לטעון שאלו גוזלים את מקומות העבודה מהישראלים.</w:t>
            </w:r>
          </w:p>
          <w:p w:rsidR="00E349DF" w:rsidRPr="00722368" w:rsidRDefault="00E349DF" w:rsidP="00FE45E7">
            <w:pPr>
              <w:spacing w:line="360" w:lineRule="auto"/>
              <w:rPr>
                <w:rFonts w:ascii="Arial" w:hAnsi="Arial" w:cs="Arial"/>
                <w:sz w:val="22"/>
                <w:szCs w:val="22"/>
              </w:rPr>
            </w:pPr>
            <w:r w:rsidRPr="00722368">
              <w:rPr>
                <w:rFonts w:ascii="Arial" w:hAnsi="Arial" w:cs="Arial"/>
                <w:sz w:val="22"/>
                <w:szCs w:val="22"/>
                <w:rtl/>
              </w:rPr>
              <w:t>&gt; מה אשמים הילדים, שמעולם לא היו מחוץ למדינת ישראל, גדלו ולמדו עברית בארץ כישראלים לכל דבר ואין להם כל קשר למדינת המוצא של הוריהם.</w:t>
            </w:r>
          </w:p>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 &gt; אסור לנו לשכוח כיצד נהגו מדינות אחרות ביהודים. האם אנו באמת רוצים להתנהג כך? ישראל הינה מראשיתה מדינת מהגרים.</w:t>
            </w:r>
          </w:p>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 &gt; לילדים אלו אין שום קשר עם מדינות מוצא הוריהם. יתרה מזו, בחלק ממדינות אלו הם צפויים לאורח חיים קשה ביותר שלא ייתן להם סיכוי לאורח חיים תקין אם בכלל.</w:t>
            </w:r>
          </w:p>
          <w:p w:rsidR="00E349DF" w:rsidRPr="00722368" w:rsidRDefault="00E349DF" w:rsidP="00FE45E7">
            <w:pPr>
              <w:spacing w:line="360" w:lineRule="auto"/>
              <w:rPr>
                <w:rFonts w:ascii="Arial" w:hAnsi="Arial" w:cs="Arial"/>
                <w:sz w:val="22"/>
                <w:szCs w:val="22"/>
                <w:rtl/>
              </w:rPr>
            </w:pPr>
            <w:r w:rsidRPr="00722368">
              <w:rPr>
                <w:rFonts w:ascii="Arial" w:hAnsi="Arial" w:cs="Arial"/>
                <w:sz w:val="22"/>
                <w:szCs w:val="22"/>
                <w:rtl/>
              </w:rPr>
              <w:t> &gt; כל משק מודרני זקוק לכעשרה אחוזים של כוח עבודה מהגר (250,000). עובדים אלו עובדים בתחומים של שלושת המ"מים: מסובך, מלוכלך ומסוכן.</w:t>
            </w:r>
          </w:p>
          <w:p w:rsidR="00E349DF" w:rsidRPr="00722368" w:rsidRDefault="00E349DF" w:rsidP="00FE45E7">
            <w:pPr>
              <w:spacing w:line="360" w:lineRule="auto"/>
              <w:rPr>
                <w:rFonts w:ascii="Arial" w:hAnsi="Arial" w:cs="Arial"/>
                <w:sz w:val="22"/>
                <w:szCs w:val="22"/>
              </w:rPr>
            </w:pPr>
            <w:r w:rsidRPr="00722368">
              <w:rPr>
                <w:rFonts w:ascii="Arial" w:hAnsi="Arial" w:cs="Arial"/>
                <w:sz w:val="22"/>
                <w:szCs w:val="22"/>
                <w:rtl/>
              </w:rPr>
              <w:t> &gt; המדינה היא זו שהביאה אותם לכאן מלכתחילה ולכן על המדינה לקחת אחריות ולהבין כי עם הזמן יהיו מי שיבקשו להשתקע בארץ ואף יביאו ילדים. לא הייתה מדיניות עקבית של המדינה להתייחסות מסודרת לעניין. זהותם העכשווית כישראלים היא שקובעת.</w:t>
            </w:r>
          </w:p>
        </w:tc>
      </w:tr>
    </w:tbl>
    <w:p w:rsidR="00E349DF" w:rsidRDefault="00E349DF" w:rsidP="00E349DF">
      <w:pPr>
        <w:spacing w:line="360" w:lineRule="auto"/>
        <w:rPr>
          <w:rFonts w:ascii="Arial" w:hAnsi="Arial" w:cs="Arial"/>
          <w:sz w:val="22"/>
          <w:szCs w:val="22"/>
          <w:rtl/>
        </w:rPr>
      </w:pPr>
    </w:p>
    <w:p w:rsidR="00380701" w:rsidRDefault="00380701">
      <w:pPr>
        <w:rPr>
          <w:rFonts w:hint="cs"/>
          <w:rtl/>
        </w:rPr>
      </w:pPr>
      <w:bookmarkStart w:id="0" w:name="_GoBack"/>
      <w:bookmarkEnd w:id="0"/>
    </w:p>
    <w:sectPr w:rsidR="00380701" w:rsidSect="00E349D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DF"/>
    <w:rsid w:val="00380701"/>
    <w:rsid w:val="008D7022"/>
    <w:rsid w:val="00E349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E349DF"/>
    <w:rPr>
      <w:color w:val="0000FF"/>
      <w:u w:val="single"/>
    </w:rPr>
  </w:style>
  <w:style w:type="paragraph" w:styleId="NormalWeb">
    <w:name w:val="Normal (Web)"/>
    <w:basedOn w:val="a"/>
    <w:rsid w:val="00E349DF"/>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9D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E349DF"/>
    <w:rPr>
      <w:color w:val="0000FF"/>
      <w:u w:val="single"/>
    </w:rPr>
  </w:style>
  <w:style w:type="paragraph" w:styleId="NormalWeb">
    <w:name w:val="Normal (Web)"/>
    <w:basedOn w:val="a"/>
    <w:rsid w:val="00E349DF"/>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i.org.il/Parliament/2002/Pages/2002_38/38_B/Parliament_Issue_38_B.aspx"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2563</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2013-04-01T11:42:00Z</dcterms:created>
  <dcterms:modified xsi:type="dcterms:W3CDTF">2013-04-01T11:42:00Z</dcterms:modified>
</cp:coreProperties>
</file>