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53B" w:rsidRDefault="00A9753B" w:rsidP="00A9753B">
      <w:pPr>
        <w:spacing w:line="360" w:lineRule="auto"/>
        <w:jc w:val="center"/>
        <w:rPr>
          <w:sz w:val="26"/>
          <w:szCs w:val="26"/>
          <w:u w:val="single"/>
          <w:rtl/>
        </w:rPr>
      </w:pPr>
      <w:r>
        <w:rPr>
          <w:rFonts w:hint="cs"/>
          <w:sz w:val="26"/>
          <w:szCs w:val="26"/>
          <w:u w:val="single"/>
          <w:rtl/>
        </w:rPr>
        <w:t>עבירות נגזרות – סיוע לדבר עבירה, שידול לדבר עבירה</w:t>
      </w:r>
    </w:p>
    <w:p w:rsidR="00A9753B" w:rsidRDefault="00A9753B" w:rsidP="00A9753B">
      <w:pPr>
        <w:spacing w:line="360" w:lineRule="auto"/>
        <w:rPr>
          <w:rFonts w:hint="cs"/>
          <w:sz w:val="26"/>
          <w:szCs w:val="26"/>
          <w:u w:val="single"/>
          <w:rtl/>
        </w:rPr>
      </w:pPr>
    </w:p>
    <w:p w:rsidR="00A9753B" w:rsidRDefault="00A9753B" w:rsidP="00A9753B">
      <w:pPr>
        <w:spacing w:line="360" w:lineRule="auto"/>
        <w:rPr>
          <w:rFonts w:hint="cs"/>
          <w:sz w:val="26"/>
          <w:szCs w:val="26"/>
          <w:u w:val="single"/>
          <w:rtl/>
        </w:rPr>
      </w:pPr>
      <w:r>
        <w:rPr>
          <w:rFonts w:hint="cs"/>
          <w:sz w:val="26"/>
          <w:szCs w:val="26"/>
          <w:u w:val="single"/>
          <w:rtl/>
        </w:rPr>
        <w:t>סעיף 29 (ג) לחוק העונשין – מבצע באמצעות אחר</w:t>
      </w:r>
    </w:p>
    <w:p w:rsidR="00A9753B" w:rsidRDefault="00A9753B" w:rsidP="00A9753B">
      <w:pPr>
        <w:spacing w:line="360" w:lineRule="auto"/>
        <w:rPr>
          <w:rFonts w:hint="cs"/>
          <w:sz w:val="26"/>
          <w:szCs w:val="26"/>
          <w:rtl/>
        </w:rPr>
      </w:pPr>
      <w:r>
        <w:rPr>
          <w:rFonts w:hint="cs"/>
          <w:sz w:val="26"/>
          <w:szCs w:val="26"/>
          <w:rtl/>
        </w:rPr>
        <w:t>מבצע באמצעות אחר הוא אדם שתרם (</w:t>
      </w:r>
      <w:r>
        <w:rPr>
          <w:rFonts w:cs="Miriam" w:hint="cs"/>
          <w:b/>
          <w:bCs/>
          <w:i/>
          <w:iCs/>
          <w:sz w:val="26"/>
          <w:szCs w:val="26"/>
          <w:rtl/>
        </w:rPr>
        <w:t>לביצוע העבירה</w:t>
      </w:r>
      <w:r>
        <w:rPr>
          <w:rFonts w:hint="cs"/>
          <w:sz w:val="26"/>
          <w:szCs w:val="26"/>
          <w:rtl/>
        </w:rPr>
        <w:t xml:space="preserve">)... על-ידי אדם אחר </w:t>
      </w:r>
      <w:proofErr w:type="spellStart"/>
      <w:r>
        <w:rPr>
          <w:rFonts w:hint="cs"/>
          <w:sz w:val="26"/>
          <w:szCs w:val="26"/>
          <w:rtl/>
        </w:rPr>
        <w:t>שעשאו</w:t>
      </w:r>
      <w:proofErr w:type="spellEnd"/>
      <w:r>
        <w:rPr>
          <w:rFonts w:hint="cs"/>
          <w:sz w:val="26"/>
          <w:szCs w:val="26"/>
          <w:rtl/>
        </w:rPr>
        <w:t xml:space="preserve"> ככלי בידיו...</w:t>
      </w:r>
    </w:p>
    <w:p w:rsidR="00A9753B" w:rsidRDefault="00A9753B" w:rsidP="00A9753B">
      <w:pPr>
        <w:spacing w:line="360" w:lineRule="auto"/>
        <w:jc w:val="both"/>
        <w:rPr>
          <w:rFonts w:cs="Miriam" w:hint="cs"/>
          <w:b/>
          <w:bCs/>
          <w:i/>
          <w:iCs/>
          <w:sz w:val="26"/>
          <w:szCs w:val="26"/>
          <w:rtl/>
        </w:rPr>
      </w:pPr>
      <w:r>
        <w:rPr>
          <w:rFonts w:cs="Miriam" w:hint="cs"/>
          <w:b/>
          <w:bCs/>
          <w:i/>
          <w:iCs/>
          <w:sz w:val="26"/>
          <w:szCs w:val="26"/>
          <w:rtl/>
        </w:rPr>
        <w:t>בסעיף זה, החוק קובע שמי ששולט באדם אחר וגורם לו לבצע עבירה - ע"י הפחדה ואיומים, או בגלל שהוא קטין או בגלל שהוא לא מבין את העבירה שהוא מבצע – הוא בעצם זה שמבצע את העבירה (=המבצע הראשי).</w:t>
      </w:r>
    </w:p>
    <w:p w:rsidR="00A9753B" w:rsidRDefault="00A9753B" w:rsidP="00A9753B">
      <w:pPr>
        <w:spacing w:line="360" w:lineRule="auto"/>
        <w:rPr>
          <w:rFonts w:hint="cs"/>
          <w:sz w:val="26"/>
          <w:szCs w:val="26"/>
          <w:rtl/>
        </w:rPr>
      </w:pPr>
    </w:p>
    <w:p w:rsidR="00A9753B" w:rsidRDefault="00A9753B" w:rsidP="00A9753B">
      <w:pPr>
        <w:spacing w:line="360" w:lineRule="auto"/>
        <w:rPr>
          <w:rFonts w:hint="cs"/>
          <w:sz w:val="26"/>
          <w:szCs w:val="26"/>
          <w:u w:val="single"/>
          <w:rtl/>
        </w:rPr>
      </w:pPr>
      <w:bookmarkStart w:id="0" w:name="OLE_LINK12"/>
      <w:bookmarkStart w:id="1" w:name="OLE_LINK11"/>
    </w:p>
    <w:p w:rsidR="00A9753B" w:rsidRDefault="00A9753B" w:rsidP="00A9753B">
      <w:pPr>
        <w:spacing w:line="360" w:lineRule="auto"/>
        <w:rPr>
          <w:rFonts w:hint="cs"/>
          <w:b/>
          <w:bCs/>
          <w:sz w:val="26"/>
          <w:szCs w:val="26"/>
          <w:u w:val="single"/>
          <w:rtl/>
        </w:rPr>
      </w:pPr>
      <w:r>
        <w:rPr>
          <w:rFonts w:hint="cs"/>
          <w:noProof/>
          <w:rtl/>
        </w:rPr>
        <w:drawing>
          <wp:anchor distT="0" distB="0" distL="114300" distR="114300" simplePos="0" relativeHeight="251659264" behindDoc="1" locked="0" layoutInCell="1" allowOverlap="1" wp14:anchorId="5A1EF8EC" wp14:editId="714052F1">
            <wp:simplePos x="0" y="0"/>
            <wp:positionH relativeFrom="column">
              <wp:posOffset>-303530</wp:posOffset>
            </wp:positionH>
            <wp:positionV relativeFrom="paragraph">
              <wp:posOffset>242570</wp:posOffset>
            </wp:positionV>
            <wp:extent cx="3371215" cy="4800600"/>
            <wp:effectExtent l="0" t="0" r="635" b="0"/>
            <wp:wrapTight wrapText="bothSides">
              <wp:wrapPolygon edited="0">
                <wp:start x="6103" y="86"/>
                <wp:lineTo x="2929" y="429"/>
                <wp:lineTo x="366" y="1029"/>
                <wp:lineTo x="0" y="2571"/>
                <wp:lineTo x="0" y="9000"/>
                <wp:lineTo x="1099" y="9857"/>
                <wp:lineTo x="1831" y="9857"/>
                <wp:lineTo x="1587" y="16714"/>
                <wp:lineTo x="2075" y="18086"/>
                <wp:lineTo x="2075" y="18600"/>
                <wp:lineTo x="4882" y="19457"/>
                <wp:lineTo x="6469" y="19543"/>
                <wp:lineTo x="12450" y="20829"/>
                <wp:lineTo x="13060" y="20829"/>
                <wp:lineTo x="16600" y="21514"/>
                <wp:lineTo x="16722" y="21514"/>
                <wp:lineTo x="18431" y="21514"/>
                <wp:lineTo x="20994" y="18086"/>
                <wp:lineTo x="21116" y="16200"/>
                <wp:lineTo x="20628" y="15771"/>
                <wp:lineTo x="19041" y="15343"/>
                <wp:lineTo x="18675" y="12600"/>
                <wp:lineTo x="21482" y="10714"/>
                <wp:lineTo x="21482" y="8743"/>
                <wp:lineTo x="17576" y="8486"/>
                <wp:lineTo x="18064" y="4371"/>
                <wp:lineTo x="17820" y="3000"/>
                <wp:lineTo x="17088" y="1629"/>
                <wp:lineTo x="17332" y="943"/>
                <wp:lineTo x="15013" y="686"/>
                <wp:lineTo x="7323" y="86"/>
                <wp:lineTo x="6103" y="86"/>
              </wp:wrapPolygon>
            </wp:wrapTight>
            <wp:docPr id="1" name="תמונה 1" descr="MCj021719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171980000[1]"/>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3371215" cy="4800600"/>
                    </a:xfrm>
                    <a:prstGeom prst="rect">
                      <a:avLst/>
                    </a:prstGeom>
                    <a:noFill/>
                  </pic:spPr>
                </pic:pic>
              </a:graphicData>
            </a:graphic>
            <wp14:sizeRelH relativeFrom="page">
              <wp14:pctWidth>0</wp14:pctWidth>
            </wp14:sizeRelH>
            <wp14:sizeRelV relativeFrom="page">
              <wp14:pctHeight>0</wp14:pctHeight>
            </wp14:sizeRelV>
          </wp:anchor>
        </w:drawing>
      </w:r>
      <w:r>
        <w:rPr>
          <w:rFonts w:hint="cs"/>
          <w:sz w:val="26"/>
          <w:szCs w:val="26"/>
          <w:u w:val="single"/>
          <w:rtl/>
        </w:rPr>
        <w:t>סעיף 30 לחוק העונשין - משדל</w:t>
      </w:r>
    </w:p>
    <w:p w:rsidR="00A9753B" w:rsidRDefault="00A9753B" w:rsidP="00A9753B">
      <w:pPr>
        <w:spacing w:line="360" w:lineRule="auto"/>
        <w:jc w:val="both"/>
        <w:rPr>
          <w:rFonts w:hint="cs"/>
          <w:sz w:val="26"/>
          <w:szCs w:val="26"/>
          <w:rtl/>
        </w:rPr>
      </w:pPr>
      <w:r>
        <w:rPr>
          <w:rFonts w:hint="cs"/>
          <w:sz w:val="26"/>
          <w:szCs w:val="26"/>
          <w:rtl/>
        </w:rPr>
        <w:t>המביא אחר לידי עשיית עבירה בשכנוע, בעידוד, בדרישה, בהפצרה או בכל דרך שיש בה משום הפעלת לחץ, הוא משדל לדבר עבירה</w:t>
      </w:r>
      <w:bookmarkEnd w:id="0"/>
      <w:bookmarkEnd w:id="1"/>
      <w:r>
        <w:rPr>
          <w:rFonts w:hint="cs"/>
          <w:sz w:val="26"/>
          <w:szCs w:val="26"/>
          <w:rtl/>
        </w:rPr>
        <w:t>.</w:t>
      </w:r>
    </w:p>
    <w:p w:rsidR="00A9753B" w:rsidRDefault="00A9753B" w:rsidP="00A9753B">
      <w:pPr>
        <w:spacing w:line="360" w:lineRule="auto"/>
        <w:rPr>
          <w:rFonts w:hint="cs"/>
          <w:sz w:val="26"/>
          <w:szCs w:val="26"/>
          <w:rtl/>
        </w:rPr>
      </w:pPr>
    </w:p>
    <w:p w:rsidR="00A9753B" w:rsidRDefault="00A9753B" w:rsidP="00A9753B">
      <w:pPr>
        <w:spacing w:line="360" w:lineRule="auto"/>
        <w:rPr>
          <w:rFonts w:hint="cs"/>
          <w:sz w:val="26"/>
          <w:szCs w:val="26"/>
          <w:u w:val="single"/>
          <w:rtl/>
        </w:rPr>
      </w:pPr>
      <w:r>
        <w:rPr>
          <w:rFonts w:hint="cs"/>
          <w:sz w:val="26"/>
          <w:szCs w:val="26"/>
          <w:u w:val="single"/>
          <w:rtl/>
        </w:rPr>
        <w:t>סעיף 31 לחוק העונשין - מסייע</w:t>
      </w:r>
    </w:p>
    <w:p w:rsidR="00A9753B" w:rsidRDefault="00A9753B" w:rsidP="00A9753B">
      <w:pPr>
        <w:spacing w:line="360" w:lineRule="auto"/>
        <w:jc w:val="both"/>
        <w:rPr>
          <w:rFonts w:hint="cs"/>
          <w:sz w:val="26"/>
          <w:szCs w:val="26"/>
          <w:rtl/>
        </w:rPr>
      </w:pPr>
      <w:r>
        <w:rPr>
          <w:rFonts w:hint="cs"/>
          <w:sz w:val="26"/>
          <w:szCs w:val="26"/>
          <w:rtl/>
        </w:rPr>
        <w:t>מי אשר, לפני עשיית העבירה או בשעת עש</w:t>
      </w:r>
      <w:bookmarkStart w:id="2" w:name="_GoBack"/>
      <w:bookmarkEnd w:id="2"/>
      <w:r>
        <w:rPr>
          <w:rFonts w:hint="cs"/>
          <w:sz w:val="26"/>
          <w:szCs w:val="26"/>
          <w:rtl/>
        </w:rPr>
        <w:t>ייתה, עשה מעשה כדי לאפשר את הביצוע, להקל עליו או לאבטח אותו, או למנוע את תפיסת המבצע..., ...הוא מסייע.</w:t>
      </w:r>
    </w:p>
    <w:p w:rsidR="00A9753B" w:rsidRDefault="00A9753B" w:rsidP="00A9753B">
      <w:pPr>
        <w:spacing w:line="360" w:lineRule="auto"/>
        <w:rPr>
          <w:rFonts w:hint="cs"/>
          <w:sz w:val="26"/>
          <w:szCs w:val="26"/>
          <w:rtl/>
        </w:rPr>
      </w:pPr>
    </w:p>
    <w:p w:rsidR="00A9753B" w:rsidRDefault="00A9753B" w:rsidP="00A9753B">
      <w:pPr>
        <w:spacing w:line="360" w:lineRule="auto"/>
        <w:rPr>
          <w:rFonts w:hint="cs"/>
          <w:sz w:val="26"/>
          <w:szCs w:val="26"/>
          <w:rtl/>
        </w:rPr>
      </w:pPr>
      <w:r>
        <w:rPr>
          <w:rFonts w:hint="cs"/>
          <w:sz w:val="26"/>
          <w:szCs w:val="26"/>
          <w:u w:val="single"/>
          <w:rtl/>
        </w:rPr>
        <w:t>סעיף 32 לחוק העונשין - עונש על סיוע</w:t>
      </w:r>
      <w:r>
        <w:rPr>
          <w:rFonts w:hint="cs"/>
          <w:sz w:val="26"/>
          <w:szCs w:val="26"/>
          <w:u w:val="single"/>
          <w:rtl/>
        </w:rPr>
        <w:br/>
      </w:r>
      <w:r>
        <w:rPr>
          <w:rFonts w:hint="cs"/>
          <w:sz w:val="26"/>
          <w:szCs w:val="26"/>
          <w:rtl/>
        </w:rPr>
        <w:t>הסיוע לעבור עבירה, עונשו – מחצית העונש שנקבע בחיקוק בשל ביצועה העיקרי...</w:t>
      </w:r>
    </w:p>
    <w:p w:rsidR="00A9753B" w:rsidRDefault="00A9753B" w:rsidP="00A9753B">
      <w:pPr>
        <w:spacing w:line="360" w:lineRule="auto"/>
        <w:rPr>
          <w:rFonts w:hint="cs"/>
          <w:sz w:val="26"/>
          <w:szCs w:val="26"/>
          <w:rtl/>
        </w:rPr>
      </w:pPr>
    </w:p>
    <w:p w:rsidR="00A9753B" w:rsidRDefault="00A9753B" w:rsidP="00A9753B">
      <w:pPr>
        <w:spacing w:line="360" w:lineRule="auto"/>
        <w:rPr>
          <w:rFonts w:hint="cs"/>
          <w:sz w:val="26"/>
          <w:szCs w:val="26"/>
          <w:rtl/>
        </w:rPr>
      </w:pPr>
      <w:r>
        <w:rPr>
          <w:rFonts w:hint="cs"/>
          <w:sz w:val="26"/>
          <w:szCs w:val="26"/>
          <w:u w:val="single"/>
          <w:rtl/>
        </w:rPr>
        <w:t>סעיף 34 לחוק העונשין - פטור עקב חרטה</w:t>
      </w:r>
      <w:r>
        <w:rPr>
          <w:rFonts w:hint="cs"/>
          <w:sz w:val="26"/>
          <w:szCs w:val="26"/>
          <w:u w:val="single"/>
          <w:rtl/>
        </w:rPr>
        <w:br/>
      </w:r>
      <w:r>
        <w:rPr>
          <w:rFonts w:hint="cs"/>
          <w:sz w:val="26"/>
          <w:szCs w:val="26"/>
          <w:rtl/>
        </w:rPr>
        <w:t>(א) משדל או מסייע לא יישא באחריות פלילית לשידול או לסיוע, ..., אם מנע את עשיית העבירה או את השלמתה, או אם הודיע בעוד מועד לרשויות על העבירה לשם מניעת עשייתה ... ועשה למטרה זו במיטב יכולתו בדרך אחרת...</w:t>
      </w:r>
    </w:p>
    <w:p w:rsidR="00A9753B" w:rsidRDefault="00A9753B" w:rsidP="00A9753B">
      <w:pPr>
        <w:spacing w:line="360" w:lineRule="auto"/>
        <w:rPr>
          <w:rFonts w:hint="cs"/>
          <w:rtl/>
        </w:rPr>
      </w:pPr>
    </w:p>
    <w:p w:rsidR="00380701" w:rsidRDefault="00380701"/>
    <w:sectPr w:rsidR="00380701" w:rsidSect="00A9753B">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3B"/>
    <w:rsid w:val="00380701"/>
    <w:rsid w:val="008D7022"/>
    <w:rsid w:val="00A975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53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53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857</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2013-04-01T11:30:00Z</dcterms:created>
  <dcterms:modified xsi:type="dcterms:W3CDTF">2013-04-01T11:32:00Z</dcterms:modified>
</cp:coreProperties>
</file>