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D7" w:rsidRDefault="00D44AD7" w:rsidP="00D44AD7">
      <w:pPr>
        <w:spacing w:line="360" w:lineRule="auto"/>
        <w:rPr>
          <w:rFonts w:ascii="Arial" w:hAnsi="Arial" w:cs="Arial"/>
          <w:u w:val="single"/>
          <w:rtl/>
        </w:rPr>
      </w:pPr>
      <w:r>
        <w:rPr>
          <w:rFonts w:ascii="Arial" w:hAnsi="Arial" w:cs="Arial"/>
          <w:u w:val="single"/>
          <w:rtl/>
        </w:rPr>
        <w:t xml:space="preserve">נספח – פרשת </w:t>
      </w:r>
      <w:proofErr w:type="spellStart"/>
      <w:r>
        <w:rPr>
          <w:rFonts w:ascii="Arial" w:hAnsi="Arial" w:cs="Arial"/>
          <w:u w:val="single"/>
          <w:rtl/>
        </w:rPr>
        <w:t>נאפסו</w:t>
      </w:r>
      <w:proofErr w:type="spellEnd"/>
    </w:p>
    <w:p w:rsidR="00D44AD7" w:rsidRDefault="00D44AD7" w:rsidP="00D44AD7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להלן כתבה מהעיתון על פרשת </w:t>
      </w:r>
      <w:proofErr w:type="spellStart"/>
      <w:r>
        <w:rPr>
          <w:rFonts w:ascii="Arial" w:hAnsi="Arial" w:cs="Arial"/>
          <w:rtl/>
        </w:rPr>
        <w:t>נאפסו</w:t>
      </w:r>
      <w:proofErr w:type="spellEnd"/>
      <w:r>
        <w:rPr>
          <w:rFonts w:ascii="Arial" w:hAnsi="Arial" w:cs="Arial"/>
          <w:rtl/>
        </w:rPr>
        <w:t xml:space="preserve">. הכתבה נערכה והושמטו ממנה פרטים הנוגעים לפרשת קו 300, שהשפיעו מאוד על ערעורו של </w:t>
      </w:r>
      <w:proofErr w:type="spellStart"/>
      <w:r>
        <w:rPr>
          <w:rFonts w:ascii="Arial" w:hAnsi="Arial" w:cs="Arial"/>
          <w:rtl/>
        </w:rPr>
        <w:t>נאפסו</w:t>
      </w:r>
      <w:proofErr w:type="spellEnd"/>
      <w:r>
        <w:rPr>
          <w:rFonts w:ascii="Arial" w:hAnsi="Arial" w:cs="Arial"/>
          <w:rtl/>
        </w:rPr>
        <w:t>, אך הם עשויים לבלבל את התלמידים. למידע נוסף, ניתן לערוך חיפוש כתבות באינטרנט.</w:t>
      </w:r>
    </w:p>
    <w:p w:rsidR="00D44AD7" w:rsidRDefault="00D44AD7" w:rsidP="00D44AD7">
      <w:pPr>
        <w:rPr>
          <w:rFonts w:ascii="Arial" w:hAnsi="Arial" w:cs="Arial"/>
          <w:b/>
          <w:bCs/>
          <w:sz w:val="31"/>
          <w:szCs w:val="31"/>
        </w:rPr>
      </w:pPr>
      <w:r>
        <w:rPr>
          <w:rFonts w:ascii="Arial" w:hAnsi="Arial" w:cs="Arial"/>
          <w:b/>
          <w:bCs/>
          <w:sz w:val="31"/>
          <w:szCs w:val="31"/>
          <w:rtl/>
        </w:rPr>
        <w:t xml:space="preserve">היום בהיסטוריה: סגן </w:t>
      </w:r>
      <w:proofErr w:type="spellStart"/>
      <w:r>
        <w:rPr>
          <w:rFonts w:ascii="Arial" w:hAnsi="Arial" w:cs="Arial"/>
          <w:b/>
          <w:bCs/>
          <w:sz w:val="31"/>
          <w:szCs w:val="31"/>
          <w:rtl/>
        </w:rPr>
        <w:t>עיזאת</w:t>
      </w:r>
      <w:proofErr w:type="spellEnd"/>
      <w:r>
        <w:rPr>
          <w:rFonts w:ascii="Arial" w:hAnsi="Arial" w:cs="Arial"/>
          <w:b/>
          <w:bCs/>
          <w:sz w:val="31"/>
          <w:szCs w:val="31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31"/>
          <w:szCs w:val="31"/>
          <w:rtl/>
        </w:rPr>
        <w:t>נאפסו</w:t>
      </w:r>
      <w:proofErr w:type="spellEnd"/>
      <w:r>
        <w:rPr>
          <w:rFonts w:ascii="Arial" w:hAnsi="Arial" w:cs="Arial"/>
          <w:b/>
          <w:bCs/>
          <w:sz w:val="31"/>
          <w:szCs w:val="31"/>
          <w:rtl/>
        </w:rPr>
        <w:t xml:space="preserve"> יוצא לחופשי</w:t>
      </w:r>
    </w:p>
    <w:p w:rsidR="00D44AD7" w:rsidRDefault="00D44AD7" w:rsidP="00D44AD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rtl/>
        </w:rPr>
        <w:t>השב"כ עינה את הקצין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</w:rPr>
        <w:t>הצ'רקסי, הוציא ממנו הודאה כוזבת ושלח אותו ל-18 שנות מאסר על ריגול ובגידה. לאחר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rtl/>
        </w:rPr>
        <w:t>יותר משבע שנים זוכה הקצין ושוחרר</w:t>
      </w:r>
    </w:p>
    <w:p w:rsidR="00D44AD7" w:rsidRDefault="00D44AD7" w:rsidP="00D44AD7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20"/>
          <w:szCs w:val="20"/>
          <w:rtl/>
        </w:rPr>
        <w:t>מאת: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Arial" w:hAnsi="Arial" w:cs="Arial" w:hint="cs"/>
            <w:b/>
            <w:bCs/>
            <w:sz w:val="20"/>
            <w:szCs w:val="20"/>
            <w:rtl/>
          </w:rPr>
          <w:t xml:space="preserve">הארון </w:t>
        </w:r>
        <w:proofErr w:type="spellStart"/>
        <w:r>
          <w:rPr>
            <w:rStyle w:val="Hyperlink"/>
            <w:rFonts w:ascii="Arial" w:hAnsi="Arial" w:cs="Arial" w:hint="cs"/>
            <w:b/>
            <w:bCs/>
            <w:sz w:val="20"/>
            <w:szCs w:val="20"/>
            <w:rtl/>
          </w:rPr>
          <w:t>תחאוכו</w:t>
        </w:r>
        <w:proofErr w:type="spellEnd"/>
      </w:hyperlink>
      <w:r>
        <w:rPr>
          <w:rFonts w:ascii="Arial" w:hAnsi="Arial" w:cs="Arial"/>
          <w:b/>
          <w:bCs/>
          <w:sz w:val="20"/>
          <w:szCs w:val="20"/>
        </w:rPr>
        <w:t xml:space="preserve">   </w:t>
      </w:r>
      <w:r>
        <w:rPr>
          <w:rFonts w:ascii="Arial" w:hAnsi="Arial" w:cs="Arial"/>
          <w:sz w:val="19"/>
          <w:szCs w:val="19"/>
        </w:rPr>
        <w:t>17:35 24/05/2005</w:t>
      </w:r>
    </w:p>
    <w:p w:rsidR="00D44AD7" w:rsidRDefault="00D44AD7" w:rsidP="00D44AD7"/>
    <w:p w:rsidR="00D44AD7" w:rsidRDefault="00D44AD7" w:rsidP="00D44AD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2400300" cy="1724025"/>
            <wp:effectExtent l="0" t="0" r="0" b="9525"/>
            <wp:docPr id="2" name="תמונה 2" descr="הודאות תוך כדי שימוש בעינויים. יוסי גינוסר (לעמ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ודאות תוך כדי שימוש בעינויים. יוסי גינוסר (לעמ)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400300" cy="1733550"/>
            <wp:effectExtent l="0" t="0" r="0" b="0"/>
            <wp:docPr id="1" name="תמונה 1" descr="עיזאת נאפסו ביום חתונתו.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עיזאת נאפסו ביום חתונתו. 198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  <w:rtl/>
        </w:rPr>
        <w:t xml:space="preserve">   יוסי גינוסר – הודאות תוך שימוש בעינויים                </w:t>
      </w:r>
      <w:proofErr w:type="spellStart"/>
      <w:r>
        <w:rPr>
          <w:rFonts w:ascii="Arial" w:hAnsi="Arial" w:cs="Arial"/>
          <w:sz w:val="22"/>
          <w:szCs w:val="22"/>
          <w:rtl/>
        </w:rPr>
        <w:t>עיזאת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rtl/>
        </w:rPr>
        <w:t>נאפסו</w:t>
      </w:r>
      <w:proofErr w:type="spellEnd"/>
      <w:r>
        <w:rPr>
          <w:rFonts w:ascii="Arial" w:hAnsi="Arial" w:cs="Arial"/>
          <w:sz w:val="22"/>
          <w:szCs w:val="22"/>
          <w:rtl/>
        </w:rPr>
        <w:t xml:space="preserve"> ביום חתונתו. 1989</w:t>
      </w:r>
    </w:p>
    <w:p w:rsidR="00D44AD7" w:rsidRDefault="00D44AD7" w:rsidP="00D44AD7">
      <w:pPr>
        <w:rPr>
          <w:rStyle w:val="articletext1"/>
          <w:rFonts w:hint="cs"/>
          <w:rtl/>
        </w:rPr>
      </w:pPr>
    </w:p>
    <w:p w:rsidR="00D44AD7" w:rsidRDefault="00D44AD7" w:rsidP="00D44AD7">
      <w:r>
        <w:rPr>
          <w:rStyle w:val="articletext1"/>
          <w:rFonts w:hint="cs"/>
          <w:rtl/>
        </w:rPr>
        <w:t xml:space="preserve">לפני כ-18 שנה, שוחרר מהכלא הצבאי הקצין הצ'רקסי </w:t>
      </w:r>
      <w:proofErr w:type="spellStart"/>
      <w:r>
        <w:rPr>
          <w:rStyle w:val="articletext1"/>
          <w:rFonts w:hint="cs"/>
          <w:rtl/>
        </w:rPr>
        <w:t>עיזאת</w:t>
      </w:r>
      <w:proofErr w:type="spellEnd"/>
      <w:r>
        <w:rPr>
          <w:rStyle w:val="articletext1"/>
          <w:rFonts w:hint="cs"/>
        </w:rPr>
        <w:t xml:space="preserve">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, שהואשם בעבירות ריגול. השב"כ קיבל מידע כוזב, על פיו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>, קצין מודיעין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בלבנון, שיתף פעולה עם שירות מודיעין זר, ועינה אותו עד שחילץ ממנו הודאה. לאחר שבע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וחצי שנות מאסר, בתאריך 24 במאי 1987, זוכה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מכל אשמה, הורשע בחריגה מסמכות,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ושוחרר מהכלא.</w:t>
      </w:r>
    </w:p>
    <w:p w:rsidR="00D44AD7" w:rsidRDefault="00D44AD7" w:rsidP="00D44AD7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המעצר</w:t>
      </w:r>
    </w:p>
    <w:p w:rsidR="00D44AD7" w:rsidRDefault="00D44AD7" w:rsidP="00D44AD7">
      <w:proofErr w:type="spellStart"/>
      <w:r>
        <w:rPr>
          <w:rStyle w:val="articletext1"/>
          <w:rFonts w:hint="cs"/>
          <w:rtl/>
        </w:rPr>
        <w:t>עיזאת</w:t>
      </w:r>
      <w:proofErr w:type="spellEnd"/>
      <w:r>
        <w:rPr>
          <w:rStyle w:val="articletext1"/>
          <w:rFonts w:hint="cs"/>
          <w:rtl/>
        </w:rPr>
        <w:t xml:space="preserve">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>, תושב כפר קמא, יישוב צ'רקסי בגליל התחתון, עשה את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שירותו הצבאי בסוף שנות השבעים, ביחידה לקישור בדרום לבנון (</w:t>
      </w:r>
      <w:proofErr w:type="spellStart"/>
      <w:r>
        <w:rPr>
          <w:rStyle w:val="articletext1"/>
          <w:rFonts w:hint="cs"/>
          <w:rtl/>
        </w:rPr>
        <w:t>אד"ל</w:t>
      </w:r>
      <w:proofErr w:type="spellEnd"/>
      <w:r>
        <w:rPr>
          <w:rStyle w:val="articletext1"/>
          <w:rFonts w:hint="cs"/>
          <w:rtl/>
        </w:rPr>
        <w:t>) - יחידה שאת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מרבית פעולותיה עטף מעטה כבד של סודיות. במסגרת תפקידו ניהל מגעים עם תושבים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לבנונים. בשנת 1979 פרש מצה"ל והתחתן.</w:t>
      </w:r>
      <w:r>
        <w:rPr>
          <w:rFonts w:ascii="Arial" w:hAnsi="Arial" w:cs="Arial"/>
        </w:rPr>
        <w:br/>
      </w:r>
      <w:r>
        <w:rPr>
          <w:rStyle w:val="articletext1"/>
          <w:rFonts w:hint="cs"/>
          <w:rtl/>
        </w:rPr>
        <w:t xml:space="preserve">ב-4 בינואר 1980, הגיע לביתו של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חברו מהיחידה וסיפר לו כי ביחידה זקוקים לשירותיו, בעקבות פעולה צבאית בגבול לבנון.</w:t>
      </w:r>
      <w:r>
        <w:rPr>
          <w:rStyle w:val="articletext1"/>
        </w:rPr>
        <w:t xml:space="preserve"> </w:t>
      </w:r>
      <w:proofErr w:type="gramStart"/>
      <w:r>
        <w:rPr>
          <w:rStyle w:val="articletext1"/>
        </w:rPr>
        <w:t>"</w:t>
      </w:r>
      <w:r>
        <w:rPr>
          <w:rStyle w:val="articletext1"/>
          <w:rFonts w:hint="cs"/>
          <w:rtl/>
        </w:rPr>
        <w:t>עליך להתלוות איתי, אין מי שמתאים לנו יותר ממך", אמר לו החבר.</w:t>
      </w:r>
      <w:proofErr w:type="gramEnd"/>
      <w:r>
        <w:rPr>
          <w:rStyle w:val="articletext1"/>
          <w:rFonts w:hint="cs"/>
          <w:rtl/>
        </w:rPr>
        <w:t xml:space="preserve"> השניים יצאו לכיוון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טבריה, שם עצרו להפסקה קצרה באחד הקיוסקים. בסמוך למקום עצירתם הופיעו אנשי שב"כ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שציוו עליו להתלוות אליהם לחיפה לבירור בשב"כ. ללא חשדות מיותרים והיסוסים נסע איתם</w:t>
      </w:r>
      <w:r>
        <w:rPr>
          <w:rStyle w:val="articletext1"/>
          <w:rFonts w:hint="cs"/>
        </w:rPr>
        <w:t xml:space="preserve">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לחיפה. שני אנשים הובילו אותו לבית מלון חמישה כוכבים בעיר, </w:t>
      </w:r>
      <w:proofErr w:type="spellStart"/>
      <w:r>
        <w:rPr>
          <w:rStyle w:val="articletext1"/>
          <w:rFonts w:hint="cs"/>
          <w:rtl/>
        </w:rPr>
        <w:t>ונאפסו</w:t>
      </w:r>
      <w:proofErr w:type="spellEnd"/>
      <w:r>
        <w:rPr>
          <w:rStyle w:val="articletext1"/>
          <w:rFonts w:hint="cs"/>
          <w:rtl/>
        </w:rPr>
        <w:t xml:space="preserve"> שיער כי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מדובר אולי בגיוס לשורות השב"כ. אך כשהגיעו לחדר הובהר לו כי הוא חשוד בריגול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ובסיוע לאויב במסגרת תפקידים שביצע במהלך שירותו הצבאי.</w:t>
      </w:r>
      <w:r>
        <w:rPr>
          <w:rFonts w:ascii="Arial" w:hAnsi="Arial" w:cs="Arial"/>
        </w:rPr>
        <w:br/>
      </w:r>
      <w:r>
        <w:rPr>
          <w:rStyle w:val="articletext1"/>
          <w:rFonts w:hint="cs"/>
          <w:rtl/>
        </w:rPr>
        <w:t>בימים הראשונים של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החקירה לא ידעו בני משפחת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לאן נעלם יקירם. אפילו מפקדים בכירים במערכת הביטחון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שהכירו את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לא יכלו לעזור: אביגדור (</w:t>
      </w:r>
      <w:proofErr w:type="spellStart"/>
      <w:r>
        <w:rPr>
          <w:rStyle w:val="articletext1"/>
          <w:rFonts w:hint="cs"/>
          <w:rtl/>
        </w:rPr>
        <w:t>יאנוש</w:t>
      </w:r>
      <w:proofErr w:type="spellEnd"/>
      <w:r>
        <w:rPr>
          <w:rStyle w:val="articletext1"/>
          <w:rFonts w:hint="cs"/>
          <w:rtl/>
        </w:rPr>
        <w:t>) בן-גל, שהיה אלוף פיקוד-הצפון,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ובנימין (פואד) בן אליעזר, שהיה בעבר המפקד של </w:t>
      </w:r>
      <w:proofErr w:type="spellStart"/>
      <w:r>
        <w:rPr>
          <w:rStyle w:val="articletext1"/>
          <w:rFonts w:hint="cs"/>
          <w:rtl/>
        </w:rPr>
        <w:t>עיזאת</w:t>
      </w:r>
      <w:proofErr w:type="spellEnd"/>
      <w:r>
        <w:rPr>
          <w:rStyle w:val="articletext1"/>
          <w:rFonts w:hint="cs"/>
          <w:rtl/>
        </w:rPr>
        <w:t xml:space="preserve"> ושל אחיו התקשו לברר.</w:t>
      </w:r>
      <w:r>
        <w:rPr>
          <w:rStyle w:val="articletext1"/>
          <w:rFonts w:hint="cs"/>
        </w:rPr>
        <w:t xml:space="preserve"> </w:t>
      </w:r>
      <w:r>
        <w:rPr>
          <w:rFonts w:ascii="Arial" w:hAnsi="Arial" w:cs="Arial"/>
        </w:rPr>
        <w:br/>
      </w:r>
      <w:r>
        <w:rPr>
          <w:rStyle w:val="articletext1"/>
          <w:rFonts w:hint="cs"/>
          <w:rtl/>
        </w:rPr>
        <w:t>כשנודע דבר החקירה לבני המשפחה הם לא מיהרו לשכור עורך דין מכיוון שקיבלו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הבטחות מצד החוקרים ומצד הפיקוד הבכיר של מערכת הביטחון כי יקירם ישתחרר בקרוב. ביום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ה-14 של החקירה נשבר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ומסר לחוקרים הודאה מלאה. למרות ההודאה, סברו מספר אנשים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בשב"כ שהיו מעורבים בחקירה כי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לא אשם והוא הורשע בטעות. ראש צוות החקירה,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יוסי גינוסר, היה בטוח כי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אשם והוציא ממנו הודאות נוספות, תוך כדי שימוש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בעינויים.</w:t>
      </w:r>
      <w:r>
        <w:rPr>
          <w:rFonts w:hint="cs"/>
        </w:rPr>
        <w:t xml:space="preserve"> </w:t>
      </w:r>
    </w:p>
    <w:p w:rsidR="00D44AD7" w:rsidRDefault="00D44AD7" w:rsidP="00D44AD7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</w:rPr>
        <w:t xml:space="preserve">18 </w:t>
      </w:r>
      <w:r>
        <w:rPr>
          <w:rFonts w:ascii="Arial" w:hAnsi="Arial" w:cs="Arial"/>
          <w:b/>
          <w:bCs/>
          <w:rtl/>
        </w:rPr>
        <w:t>שנות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rtl/>
        </w:rPr>
        <w:t>מאסר בכלא</w:t>
      </w:r>
    </w:p>
    <w:p w:rsidR="00D44AD7" w:rsidRDefault="00D44AD7" w:rsidP="00D44AD7">
      <w:r>
        <w:rPr>
          <w:rStyle w:val="articletext1"/>
          <w:rFonts w:hint="cs"/>
          <w:rtl/>
        </w:rPr>
        <w:t xml:space="preserve">כעבור שנה, אותה בילה במעצר, הואשם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בבית דין צבאי בעבירות של בגידה, ריגול חמור וסיוע לאויב. בכתב האישום נטען כי ניהל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מגעים עם תושב לבנון, ואיש ארגון פתח. עורך דינו של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היה אז צבי הדר, לשעבר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הפרקליט הצבאי הראשי ומפקדם של שניים מהשופטים שגזרו את עונשו של</w:t>
      </w:r>
      <w:r>
        <w:rPr>
          <w:rStyle w:val="articletext1"/>
          <w:rFonts w:hint="cs"/>
        </w:rPr>
        <w:t xml:space="preserve">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>.</w:t>
      </w:r>
      <w:r>
        <w:rPr>
          <w:rFonts w:ascii="Arial" w:hAnsi="Arial" w:cs="Arial"/>
        </w:rPr>
        <w:br/>
      </w:r>
      <w:r>
        <w:rPr>
          <w:rStyle w:val="articletext1"/>
          <w:rFonts w:hint="cs"/>
          <w:rtl/>
        </w:rPr>
        <w:t xml:space="preserve">האיש שעל פי הממצאים הלשין על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היה שטינקר של צה"ל שנודע בשם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אבו קאסם, תושב הכפר שובה בדרום לבנון, ושעל סמך הלשנתו הובא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לדין, לא הוזמן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כלל להעיד. אחד האנשים הבודדים שהוזמן להעיד הוא ראש אגף החקירות בשב"כ דאז הזכה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לכינוי "פשוש". האיש זומן להעיד כדי להזים את טענות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>.</w:t>
      </w:r>
      <w:r>
        <w:rPr>
          <w:rStyle w:val="articletext1"/>
          <w:rFonts w:hint="cs"/>
        </w:rPr>
        <w:t xml:space="preserve"> </w:t>
      </w:r>
      <w:r>
        <w:rPr>
          <w:rFonts w:ascii="Arial" w:hAnsi="Arial" w:cs="Arial"/>
        </w:rPr>
        <w:br/>
      </w:r>
      <w:r>
        <w:rPr>
          <w:rStyle w:val="articletext1"/>
          <w:rFonts w:hint="cs"/>
          <w:rtl/>
        </w:rPr>
        <w:t>על פי ההודאות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שהוצאו </w:t>
      </w:r>
      <w:proofErr w:type="spellStart"/>
      <w:r>
        <w:rPr>
          <w:rStyle w:val="articletext1"/>
          <w:rFonts w:hint="cs"/>
          <w:rtl/>
        </w:rPr>
        <w:t>מנאפסו</w:t>
      </w:r>
      <w:proofErr w:type="spellEnd"/>
      <w:r>
        <w:rPr>
          <w:rStyle w:val="articletext1"/>
          <w:rFonts w:hint="cs"/>
          <w:rtl/>
        </w:rPr>
        <w:t xml:space="preserve"> בעינויים, קבע השב"כ כי במסגרת קשריו ופעילותו בלבנון במסגרת תפקידו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בצה"ל, העביר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מידע על הצבא וסייע להעברת אמצעי לחימה דרך הגבול עם לבנון.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בחקירתו הודה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בהאשמות שיוחסו לו. השופטים נימקו את החלטתם בפסק דין ארוך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ומנומק של 300 עמודים ושלחו אותו ל-18 שנות מאסר. כל אותו זמן אסרה הצנזורה על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פרסום פרטי הפרשה. ערעור שהגיש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בבית דין צבאי לאחר הרשעתו נדחה.</w:t>
      </w:r>
      <w:r>
        <w:rPr>
          <w:rFonts w:hint="cs"/>
        </w:rPr>
        <w:t xml:space="preserve"> </w:t>
      </w:r>
    </w:p>
    <w:p w:rsidR="00D44AD7" w:rsidRDefault="00D44AD7" w:rsidP="00D44AD7">
      <w:pPr>
        <w:rPr>
          <w:rFonts w:ascii="Arial" w:hAnsi="Arial" w:cs="Arial" w:hint="cs"/>
          <w:b/>
          <w:bCs/>
          <w:rtl/>
        </w:rPr>
      </w:pPr>
    </w:p>
    <w:p w:rsidR="00D44AD7" w:rsidRDefault="00D44AD7" w:rsidP="00D44AD7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הזיכוי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rtl/>
        </w:rPr>
        <w:t>והשחרור</w:t>
      </w:r>
    </w:p>
    <w:p w:rsidR="00D44AD7" w:rsidRDefault="00D44AD7" w:rsidP="00D44AD7">
      <w:r>
        <w:rPr>
          <w:rStyle w:val="articletext1"/>
          <w:rFonts w:hint="cs"/>
          <w:rtl/>
        </w:rPr>
        <w:t xml:space="preserve">הדיון בבית המשפט העליון בעניינו של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החל ב- 24 במאי 1987. במהלך הדיון הודיעה המדינה, כי בדיקה נוספת העלתה ממצאים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התומכים במרבית טענותיו של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>. בעקבות עמדה זו גיבשו הצדדים עסקת טיעון. העסקה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התקבלה על ידי בית המשפט. פסק הדין המקורי בוטל, </w:t>
      </w:r>
      <w:proofErr w:type="spellStart"/>
      <w:r>
        <w:rPr>
          <w:rStyle w:val="articletext1"/>
          <w:rFonts w:hint="cs"/>
          <w:rtl/>
        </w:rPr>
        <w:t>ונאפסו</w:t>
      </w:r>
      <w:proofErr w:type="spellEnd"/>
      <w:r>
        <w:rPr>
          <w:rStyle w:val="articletext1"/>
          <w:rFonts w:hint="cs"/>
          <w:rtl/>
        </w:rPr>
        <w:t xml:space="preserve"> הודה בעבירת "חריגה מסמכות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עד סיכון ביטחון המדינה". עבור עבירה זו נידון ל 24 חודשי מאסר, אותם ריצה למעשה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טרום הערעור, ולכן שוחרר </w:t>
      </w:r>
      <w:proofErr w:type="spellStart"/>
      <w:r>
        <w:rPr>
          <w:rStyle w:val="articletext1"/>
          <w:rFonts w:hint="cs"/>
          <w:rtl/>
        </w:rPr>
        <w:t>מייד</w:t>
      </w:r>
      <w:proofErr w:type="spellEnd"/>
      <w:r>
        <w:rPr>
          <w:rStyle w:val="articletext1"/>
          <w:rFonts w:hint="cs"/>
          <w:rtl/>
        </w:rPr>
        <w:t>.</w:t>
      </w:r>
      <w:r>
        <w:rPr>
          <w:rFonts w:ascii="Arial" w:hAnsi="Arial" w:cs="Arial"/>
        </w:rPr>
        <w:br/>
      </w:r>
      <w:r>
        <w:rPr>
          <w:rStyle w:val="articletext1"/>
          <w:rFonts w:hint="cs"/>
          <w:rtl/>
        </w:rPr>
        <w:t>בפסק הדין מתח בית המשפט ביקורת חריפה על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חוקרי השב"כ. בין השאר נקבע כי חוקרי השב"כ אכן נקטו באמצעים בלתי סבירים בחקירה,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וכי גינוסר וחוקרי שב"כ אחרים העידו בבית הדין הצבאי עדות שקר.</w:t>
      </w:r>
      <w:r>
        <w:rPr>
          <w:rFonts w:ascii="Arial" w:hAnsi="Arial" w:cs="Arial"/>
        </w:rPr>
        <w:br/>
      </w:r>
      <w:r>
        <w:rPr>
          <w:rStyle w:val="articletext1"/>
          <w:rFonts w:hint="cs"/>
          <w:rtl/>
        </w:rPr>
        <w:t>לאחר גזר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הדין הורה היועץ המשפטי, יוסף חריש, לחקור את אנשי השב"כ שהיו מעורבים בפרשה. על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מנת לחלץ את אנשי השב"כ מן החקירה החליטה הממשלה על הקמת וועדת </w:t>
      </w:r>
      <w:proofErr w:type="spellStart"/>
      <w:r>
        <w:rPr>
          <w:rStyle w:val="articletext1"/>
          <w:rFonts w:hint="cs"/>
          <w:rtl/>
        </w:rPr>
        <w:t>לנדוי</w:t>
      </w:r>
      <w:proofErr w:type="spellEnd"/>
      <w:r>
        <w:rPr>
          <w:rStyle w:val="articletext1"/>
          <w:rFonts w:hint="cs"/>
          <w:rtl/>
        </w:rPr>
        <w:t>. וועדה זאת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מונתה, כדי לחקור את שיטות החקירה של השב"כ בנושא פעילות חבלנית עוינת. הוועדה חקרה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והביאה לידיעת הציבור מידע על השימוש בעינויים בחקירות השב"כ, ועל השימוש בעדויות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שקר של חוקרי השב"כ בבית המשפט. הועדה קבעה: "צמרת השירות נכשלה בכך שלא הבינה ששום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עשייה ביטחונית, חשובה וחיונית ככל שתהיה, איננה יכולה להעמיד את עושיה מעל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לחוק".</w:t>
      </w:r>
      <w:r>
        <w:rPr>
          <w:rFonts w:hint="cs"/>
        </w:rPr>
        <w:t xml:space="preserve"> </w:t>
      </w:r>
    </w:p>
    <w:p w:rsidR="00D44AD7" w:rsidRDefault="00D44AD7" w:rsidP="00D44AD7">
      <w:pPr>
        <w:rPr>
          <w:rFonts w:ascii="Arial" w:hAnsi="Arial" w:cs="Arial" w:hint="cs"/>
          <w:b/>
          <w:bCs/>
          <w:rtl/>
        </w:rPr>
      </w:pPr>
    </w:p>
    <w:p w:rsidR="00D44AD7" w:rsidRDefault="00D44AD7" w:rsidP="00D44AD7">
      <w:pPr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>פיצויים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rtl/>
        </w:rPr>
        <w:t>כדמי שתיקה</w:t>
      </w:r>
    </w:p>
    <w:p w:rsidR="00D44AD7" w:rsidRDefault="00D44AD7" w:rsidP="00D44AD7">
      <w:r>
        <w:rPr>
          <w:rStyle w:val="articletext1"/>
          <w:rFonts w:hint="cs"/>
          <w:rtl/>
        </w:rPr>
        <w:t xml:space="preserve">בפברואר 1988 עתר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</w:t>
      </w:r>
      <w:proofErr w:type="spellStart"/>
      <w:r>
        <w:rPr>
          <w:rStyle w:val="articletext1"/>
          <w:rFonts w:hint="cs"/>
          <w:rtl/>
        </w:rPr>
        <w:t>לבג"צ</w:t>
      </w:r>
      <w:proofErr w:type="spellEnd"/>
      <w:r>
        <w:rPr>
          <w:rStyle w:val="articletext1"/>
          <w:rFonts w:hint="cs"/>
          <w:rtl/>
        </w:rPr>
        <w:t xml:space="preserve"> במטרה לאלץ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את המשטרה להמשיך בחקירת אנשי השב"כ. העתירה נדחתה. בינואר 1989 הגיש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תביעת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 xml:space="preserve">פיצויים נגד המדינה, ובמהלך הדיונים הושג הסכם בין הצדדים. בהסכם התחייב </w:t>
      </w:r>
      <w:proofErr w:type="spellStart"/>
      <w:r>
        <w:rPr>
          <w:rStyle w:val="articletext1"/>
          <w:rFonts w:hint="cs"/>
          <w:rtl/>
        </w:rPr>
        <w:t>נאפסו</w:t>
      </w:r>
      <w:proofErr w:type="spellEnd"/>
      <w:r>
        <w:rPr>
          <w:rStyle w:val="articletext1"/>
          <w:rFonts w:hint="cs"/>
          <w:rtl/>
        </w:rPr>
        <w:t xml:space="preserve"> שלא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לפרסם דבר מפרטי הפרשה, ואילו המדינה מסרה לידיו פיצויים המוערכים בסך של כמיליון</w:t>
      </w:r>
      <w:r>
        <w:rPr>
          <w:rStyle w:val="articletext1"/>
          <w:rFonts w:hint="cs"/>
        </w:rPr>
        <w:t xml:space="preserve"> </w:t>
      </w:r>
      <w:r>
        <w:rPr>
          <w:rStyle w:val="articletext1"/>
          <w:rFonts w:hint="cs"/>
          <w:rtl/>
        </w:rPr>
        <w:t>שקלים, דמי שתיקה.</w:t>
      </w:r>
    </w:p>
    <w:p w:rsidR="002534E8" w:rsidRPr="00D44AD7" w:rsidRDefault="002534E8">
      <w:bookmarkStart w:id="0" w:name="_GoBack"/>
      <w:bookmarkEnd w:id="0"/>
    </w:p>
    <w:sectPr w:rsidR="002534E8" w:rsidRPr="00D44AD7" w:rsidSect="00D44AD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D7"/>
    <w:rsid w:val="002534E8"/>
    <w:rsid w:val="008D7022"/>
    <w:rsid w:val="00D4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D7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44AD7"/>
    <w:rPr>
      <w:color w:val="0000FF"/>
      <w:u w:val="single"/>
    </w:rPr>
  </w:style>
  <w:style w:type="character" w:customStyle="1" w:styleId="articletext1">
    <w:name w:val="article_text1"/>
    <w:rsid w:val="00D44AD7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44AD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44A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D7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44AD7"/>
    <w:rPr>
      <w:color w:val="0000FF"/>
      <w:u w:val="single"/>
    </w:rPr>
  </w:style>
  <w:style w:type="character" w:customStyle="1" w:styleId="articletext1">
    <w:name w:val="article_text1"/>
    <w:rsid w:val="00D44AD7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44AD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44A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http://images.nana.co.il/Upload/52005/Article/Article_Paragraph_825353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news@nana.co.i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images.nana.co.il/Upload/52005/Article/Article_Title_825350.jp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2013-01-24T13:22:00Z</dcterms:created>
  <dcterms:modified xsi:type="dcterms:W3CDTF">2013-01-24T13:22:00Z</dcterms:modified>
</cp:coreProperties>
</file>