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D7" w:rsidRDefault="00D44AD7" w:rsidP="00D44AD7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u w:val="single"/>
          <w:rtl/>
        </w:rPr>
        <w:t xml:space="preserve">נספח – פרשת </w:t>
      </w:r>
      <w:proofErr w:type="spellStart"/>
      <w:r>
        <w:rPr>
          <w:rFonts w:ascii="Arial" w:hAnsi="Arial" w:cs="Arial"/>
          <w:u w:val="single"/>
          <w:rtl/>
        </w:rPr>
        <w:t>נאפסו</w:t>
      </w:r>
      <w:proofErr w:type="spellEnd"/>
    </w:p>
    <w:p w:rsidR="00D44AD7" w:rsidRDefault="00D44AD7" w:rsidP="00D44AD7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להלן כתבה מהעיתון על פרשת </w:t>
      </w:r>
      <w:proofErr w:type="spellStart"/>
      <w:r>
        <w:rPr>
          <w:rFonts w:ascii="Arial" w:hAnsi="Arial" w:cs="Arial"/>
          <w:rtl/>
        </w:rPr>
        <w:t>נאפסו</w:t>
      </w:r>
      <w:proofErr w:type="spellEnd"/>
      <w:r>
        <w:rPr>
          <w:rFonts w:ascii="Arial" w:hAnsi="Arial" w:cs="Arial"/>
          <w:rtl/>
        </w:rPr>
        <w:t xml:space="preserve">. הכתבה נערכה והושמטו ממנה פרטים הנוגעים לפרשת קו 300, שהשפיעו מאוד על ערעורו של </w:t>
      </w:r>
      <w:proofErr w:type="spellStart"/>
      <w:r>
        <w:rPr>
          <w:rFonts w:ascii="Arial" w:hAnsi="Arial" w:cs="Arial"/>
          <w:rtl/>
        </w:rPr>
        <w:t>נאפסו</w:t>
      </w:r>
      <w:proofErr w:type="spellEnd"/>
      <w:r>
        <w:rPr>
          <w:rFonts w:ascii="Arial" w:hAnsi="Arial" w:cs="Arial"/>
          <w:rtl/>
        </w:rPr>
        <w:t>, אך הם עשויים לבלבל את התלמידים. למידע נוסף, ניתן לערוך חיפוש כתבות באינטרנט.</w:t>
      </w:r>
    </w:p>
    <w:p w:rsidR="00D44AD7" w:rsidRDefault="00D44AD7" w:rsidP="00D44AD7">
      <w:pPr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  <w:rtl/>
        </w:rPr>
        <w:t xml:space="preserve">היום בהיסטוריה: סגן </w:t>
      </w:r>
      <w:proofErr w:type="spellStart"/>
      <w:r>
        <w:rPr>
          <w:rFonts w:ascii="Arial" w:hAnsi="Arial" w:cs="Arial"/>
          <w:b/>
          <w:bCs/>
          <w:sz w:val="31"/>
          <w:szCs w:val="31"/>
          <w:rtl/>
        </w:rPr>
        <w:t>עיזאת</w:t>
      </w:r>
      <w:proofErr w:type="spellEnd"/>
      <w:r>
        <w:rPr>
          <w:rFonts w:ascii="Arial" w:hAnsi="Arial" w:cs="Arial"/>
          <w:b/>
          <w:bCs/>
          <w:sz w:val="31"/>
          <w:szCs w:val="3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sz w:val="31"/>
          <w:szCs w:val="31"/>
          <w:rtl/>
        </w:rPr>
        <w:t>נאפסו</w:t>
      </w:r>
      <w:proofErr w:type="spellEnd"/>
      <w:r>
        <w:rPr>
          <w:rFonts w:ascii="Arial" w:hAnsi="Arial" w:cs="Arial"/>
          <w:b/>
          <w:bCs/>
          <w:sz w:val="31"/>
          <w:szCs w:val="31"/>
          <w:rtl/>
        </w:rPr>
        <w:t xml:space="preserve"> יוצא לחופשי</w:t>
      </w:r>
    </w:p>
    <w:p w:rsidR="00D44AD7" w:rsidRDefault="00D44AD7" w:rsidP="00D44A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rtl/>
        </w:rPr>
        <w:t>השב"כ עינה את הקצין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הצ'רקסי, הוציא ממנו הודאה כוזבת ושלח אותו ל-18 שנות מאסר על ריגול ובגידה. לאחר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יותר משבע שנים זוכה הקצין ושוחרר</w:t>
      </w:r>
    </w:p>
    <w:p w:rsidR="00D44AD7" w:rsidRDefault="00D44AD7" w:rsidP="00D44AD7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20"/>
          <w:szCs w:val="20"/>
          <w:rtl/>
        </w:rPr>
        <w:t>מאת: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Arial" w:hAnsi="Arial" w:cs="Arial" w:hint="cs"/>
            <w:b/>
            <w:bCs/>
            <w:sz w:val="20"/>
            <w:szCs w:val="20"/>
            <w:rtl/>
          </w:rPr>
          <w:t xml:space="preserve">הארון </w:t>
        </w:r>
        <w:proofErr w:type="spellStart"/>
        <w:r>
          <w:rPr>
            <w:rStyle w:val="Hyperlink"/>
            <w:rFonts w:ascii="Arial" w:hAnsi="Arial" w:cs="Arial" w:hint="cs"/>
            <w:b/>
            <w:bCs/>
            <w:sz w:val="20"/>
            <w:szCs w:val="20"/>
            <w:rtl/>
          </w:rPr>
          <w:t>תחאוכו</w:t>
        </w:r>
        <w:proofErr w:type="spellEnd"/>
      </w:hyperlink>
      <w:r>
        <w:rPr>
          <w:rFonts w:ascii="Arial" w:hAnsi="Arial" w:cs="Arial"/>
          <w:b/>
          <w:bCs/>
          <w:sz w:val="20"/>
          <w:szCs w:val="20"/>
        </w:rPr>
        <w:t xml:space="preserve">   </w:t>
      </w:r>
      <w:r>
        <w:rPr>
          <w:rFonts w:ascii="Arial" w:hAnsi="Arial" w:cs="Arial"/>
          <w:sz w:val="19"/>
          <w:szCs w:val="19"/>
        </w:rPr>
        <w:t>17:35 24/05/2005</w:t>
      </w:r>
    </w:p>
    <w:p w:rsidR="00D44AD7" w:rsidRDefault="00D44AD7" w:rsidP="00D44AD7"/>
    <w:p w:rsidR="00D44AD7" w:rsidRDefault="00D44AD7" w:rsidP="00D44AD7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400300" cy="1724025"/>
            <wp:effectExtent l="0" t="0" r="0" b="9525"/>
            <wp:docPr id="2" name="תמונה 2" descr="הודאות תוך כדי שימוש בעינויים. יוסי גינוסר (לעמ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ודאות תוך כדי שימוש בעינויים. יוסי גינוסר (לעמ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00300" cy="1733550"/>
            <wp:effectExtent l="0" t="0" r="0" b="0"/>
            <wp:docPr id="1" name="תמונה 1" descr="עיזאת נאפסו ביום חתונתו. 1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עיזאת נאפסו ביום חתונתו. 198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  <w:rtl/>
        </w:rPr>
        <w:t xml:space="preserve">   יוסי גינוסר – הודאות תוך שימוש בעינויים                </w:t>
      </w:r>
      <w:proofErr w:type="spellStart"/>
      <w:r>
        <w:rPr>
          <w:rFonts w:ascii="Arial" w:hAnsi="Arial" w:cs="Arial"/>
          <w:sz w:val="22"/>
          <w:szCs w:val="22"/>
          <w:rtl/>
        </w:rPr>
        <w:t>עיזאת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rtl/>
        </w:rPr>
        <w:t>נאפסו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ביום חתונתו. 1989</w:t>
      </w:r>
    </w:p>
    <w:p w:rsidR="00D44AD7" w:rsidRDefault="00D44AD7" w:rsidP="00D44AD7">
      <w:pPr>
        <w:rPr>
          <w:rStyle w:val="articletext1"/>
          <w:rFonts w:hint="cs"/>
          <w:rtl/>
        </w:rPr>
      </w:pPr>
    </w:p>
    <w:p w:rsidR="00D44AD7" w:rsidRDefault="00D44AD7" w:rsidP="00D44AD7">
      <w:r>
        <w:rPr>
          <w:rStyle w:val="articletext1"/>
          <w:rFonts w:hint="cs"/>
          <w:rtl/>
        </w:rPr>
        <w:t xml:space="preserve">לפני כ-18 שנה, שוחרר מהכלא הצבאי הקצין הצ'רקסי </w:t>
      </w:r>
      <w:proofErr w:type="spellStart"/>
      <w:r>
        <w:rPr>
          <w:rStyle w:val="articletext1"/>
          <w:rFonts w:hint="cs"/>
          <w:rtl/>
        </w:rPr>
        <w:t>עיזאת</w:t>
      </w:r>
      <w:proofErr w:type="spellEnd"/>
      <w:r>
        <w:rPr>
          <w:rStyle w:val="articletext1"/>
          <w:rFonts w:hint="cs"/>
        </w:rPr>
        <w:t xml:space="preserve">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 xml:space="preserve">, שהואשם בעבירות ריגול. השב"כ קיבל מידע כוזב, על פיו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>, קצין מודיעין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בלבנון, שיתף פעולה עם שירות מודיעין זר, ועינה אותו עד שחילץ ממנו הודאה. לאחר שבע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 xml:space="preserve">וחצי שנות מאסר, בתאריך 24 במאי 1987, זוכה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 xml:space="preserve"> מכל אשמה, הורשע בחריגה מסמכות,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ושוחרר מהכלא.</w:t>
      </w:r>
    </w:p>
    <w:p w:rsidR="00D44AD7" w:rsidRDefault="00D44AD7" w:rsidP="00D44AD7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המעצר</w:t>
      </w:r>
    </w:p>
    <w:p w:rsidR="00D44AD7" w:rsidRDefault="00D44AD7" w:rsidP="00D44AD7">
      <w:proofErr w:type="spellStart"/>
      <w:r>
        <w:rPr>
          <w:rStyle w:val="articletext1"/>
          <w:rFonts w:hint="cs"/>
          <w:rtl/>
        </w:rPr>
        <w:t>עיזאת</w:t>
      </w:r>
      <w:proofErr w:type="spellEnd"/>
      <w:r>
        <w:rPr>
          <w:rStyle w:val="articletext1"/>
          <w:rFonts w:hint="cs"/>
          <w:rtl/>
        </w:rPr>
        <w:t xml:space="preserve">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>, תושב כפר קמא, יישוב צ'רקסי בגליל התחתון, עשה את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שירותו הצבאי בסוף שנות השבעים, ביחידה לקישור בדרום לבנון (</w:t>
      </w:r>
      <w:proofErr w:type="spellStart"/>
      <w:r>
        <w:rPr>
          <w:rStyle w:val="articletext1"/>
          <w:rFonts w:hint="cs"/>
          <w:rtl/>
        </w:rPr>
        <w:t>אד"ל</w:t>
      </w:r>
      <w:proofErr w:type="spellEnd"/>
      <w:r>
        <w:rPr>
          <w:rStyle w:val="articletext1"/>
          <w:rFonts w:hint="cs"/>
          <w:rtl/>
        </w:rPr>
        <w:t>) - יחידה שאת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מרבית פעולותיה עטף מעטה כבד של סודיות. במסגרת תפקידו ניהל מגעים עם תושבים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לבנונים. בשנת 1979 פרש מצה"ל והתחתן.</w:t>
      </w:r>
      <w:r>
        <w:rPr>
          <w:rFonts w:ascii="Arial" w:hAnsi="Arial" w:cs="Arial"/>
        </w:rPr>
        <w:br/>
      </w:r>
      <w:r>
        <w:rPr>
          <w:rStyle w:val="articletext1"/>
          <w:rFonts w:hint="cs"/>
          <w:rtl/>
        </w:rPr>
        <w:t xml:space="preserve">ב-4 בינואר 1980, הגיע לביתו של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חברו מהיחידה וסיפר לו כי ביחידה זקוקים לשירותיו, בעקבות פעולה צבאית בגבול לבנון.</w:t>
      </w:r>
      <w:r>
        <w:rPr>
          <w:rStyle w:val="articletext1"/>
        </w:rPr>
        <w:t xml:space="preserve"> </w:t>
      </w:r>
      <w:proofErr w:type="gramStart"/>
      <w:r>
        <w:rPr>
          <w:rStyle w:val="articletext1"/>
        </w:rPr>
        <w:t>"</w:t>
      </w:r>
      <w:r>
        <w:rPr>
          <w:rStyle w:val="articletext1"/>
          <w:rFonts w:hint="cs"/>
          <w:rtl/>
        </w:rPr>
        <w:t>עליך להתלוות איתי, אין מי שמתאים לנו יותר ממך", אמר לו החבר.</w:t>
      </w:r>
      <w:proofErr w:type="gramEnd"/>
      <w:r>
        <w:rPr>
          <w:rStyle w:val="articletext1"/>
          <w:rFonts w:hint="cs"/>
          <w:rtl/>
        </w:rPr>
        <w:t xml:space="preserve"> השניים יצאו לכיוון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טבריה, שם עצרו להפסקה קצרה באחד הקיוסקים. בסמוך למקום עצירתם הופיעו אנשי שב"כ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שציוו עליו להתלוות אליהם לחיפה לבירור בשב"כ. ללא חשדות מיותרים והיסוסים נסע איתם</w:t>
      </w:r>
      <w:r>
        <w:rPr>
          <w:rStyle w:val="articletext1"/>
          <w:rFonts w:hint="cs"/>
        </w:rPr>
        <w:t xml:space="preserve">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 xml:space="preserve"> לחיפה. שני אנשים הובילו אותו לבית מלון חמישה כוכבים בעיר, </w:t>
      </w:r>
      <w:proofErr w:type="spellStart"/>
      <w:r>
        <w:rPr>
          <w:rStyle w:val="articletext1"/>
          <w:rFonts w:hint="cs"/>
          <w:rtl/>
        </w:rPr>
        <w:t>ונאפסו</w:t>
      </w:r>
      <w:proofErr w:type="spellEnd"/>
      <w:r>
        <w:rPr>
          <w:rStyle w:val="articletext1"/>
          <w:rFonts w:hint="cs"/>
          <w:rtl/>
        </w:rPr>
        <w:t xml:space="preserve"> שיער כי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מדובר אולי בגיוס לשורות השב"כ. אך כשהגיעו לחדר הובהר לו כי הוא חשוד בריגול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ובסיוע לאויב במסגרת תפקידים שביצע במהלך שירותו הצבאי.</w:t>
      </w:r>
      <w:r>
        <w:rPr>
          <w:rFonts w:ascii="Arial" w:hAnsi="Arial" w:cs="Arial"/>
        </w:rPr>
        <w:br/>
      </w:r>
      <w:r>
        <w:rPr>
          <w:rStyle w:val="articletext1"/>
          <w:rFonts w:hint="cs"/>
          <w:rtl/>
        </w:rPr>
        <w:t>בימים הראשונים של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 xml:space="preserve">החקירה לא ידעו בני משפחת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 xml:space="preserve"> לאן נעלם יקירם. אפילו מפקדים בכירים במערכת הביטחון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 xml:space="preserve">שהכירו את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 xml:space="preserve"> לא יכלו לעזור: אביגדור (</w:t>
      </w:r>
      <w:proofErr w:type="spellStart"/>
      <w:r>
        <w:rPr>
          <w:rStyle w:val="articletext1"/>
          <w:rFonts w:hint="cs"/>
          <w:rtl/>
        </w:rPr>
        <w:t>יאנוש</w:t>
      </w:r>
      <w:proofErr w:type="spellEnd"/>
      <w:r>
        <w:rPr>
          <w:rStyle w:val="articletext1"/>
          <w:rFonts w:hint="cs"/>
          <w:rtl/>
        </w:rPr>
        <w:t>) בן-גל, שהיה אלוף פיקוד-הצפון,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 xml:space="preserve">ובנימין (פואד) בן אליעזר, שהיה בעבר המפקד של </w:t>
      </w:r>
      <w:proofErr w:type="spellStart"/>
      <w:r>
        <w:rPr>
          <w:rStyle w:val="articletext1"/>
          <w:rFonts w:hint="cs"/>
          <w:rtl/>
        </w:rPr>
        <w:t>עיזאת</w:t>
      </w:r>
      <w:proofErr w:type="spellEnd"/>
      <w:r>
        <w:rPr>
          <w:rStyle w:val="articletext1"/>
          <w:rFonts w:hint="cs"/>
          <w:rtl/>
        </w:rPr>
        <w:t xml:space="preserve"> ושל אחיו התקשו לברר.</w:t>
      </w:r>
      <w:r>
        <w:rPr>
          <w:rStyle w:val="articletext1"/>
          <w:rFonts w:hint="cs"/>
        </w:rPr>
        <w:t xml:space="preserve"> </w:t>
      </w:r>
      <w:r>
        <w:rPr>
          <w:rFonts w:ascii="Arial" w:hAnsi="Arial" w:cs="Arial"/>
        </w:rPr>
        <w:br/>
      </w:r>
      <w:r>
        <w:rPr>
          <w:rStyle w:val="articletext1"/>
          <w:rFonts w:hint="cs"/>
          <w:rtl/>
        </w:rPr>
        <w:t>כשנודע דבר החקירה לבני המשפחה הם לא מיהרו לשכור עורך דין מכיוון שקיבלו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הבטחות מצד החוקרים ומצד הפיקוד הבכיר של מערכת הביטחון כי יקירם ישתחרר בקרוב. ביום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 xml:space="preserve">ה-14 של החקירה נשבר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 xml:space="preserve"> ומסר לחוקרים הודאה מלאה. למרות ההודאה, סברו מספר אנשים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 xml:space="preserve">בשב"כ שהיו מעורבים בחקירה כי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 xml:space="preserve"> לא אשם והוא הורשע בטעות. ראש צוות החקירה,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 xml:space="preserve">יוסי גינוסר, היה בטוח כי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 xml:space="preserve"> אשם והוציא ממנו הודאות נוספות, תוך כדי שימוש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בעינויים.</w:t>
      </w:r>
      <w:r>
        <w:rPr>
          <w:rFonts w:hint="cs"/>
        </w:rPr>
        <w:t xml:space="preserve"> </w:t>
      </w:r>
    </w:p>
    <w:p w:rsidR="00D44AD7" w:rsidRDefault="00D44AD7" w:rsidP="00D44AD7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</w:rPr>
        <w:t xml:space="preserve">18 </w:t>
      </w:r>
      <w:r>
        <w:rPr>
          <w:rFonts w:ascii="Arial" w:hAnsi="Arial" w:cs="Arial"/>
          <w:b/>
          <w:bCs/>
          <w:rtl/>
        </w:rPr>
        <w:t>שנות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rtl/>
        </w:rPr>
        <w:t>מאסר בכלא</w:t>
      </w:r>
    </w:p>
    <w:p w:rsidR="00D44AD7" w:rsidRDefault="00D44AD7" w:rsidP="00D44AD7">
      <w:r>
        <w:rPr>
          <w:rStyle w:val="articletext1"/>
          <w:rFonts w:hint="cs"/>
          <w:rtl/>
        </w:rPr>
        <w:t xml:space="preserve">כעבור שנה, אותה בילה במעצר, הואשם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בבית דין צבאי בעבירות של בגידה, ריגול חמור וסיוע לאויב. בכתב האישום נטען כי ניהל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 xml:space="preserve">מגעים עם תושב לבנון, ואיש ארגון פתח. עורך דינו של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 xml:space="preserve"> היה אז צבי הדר, לשעבר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הפרקליט הצבאי הראשי ומפקדם של שניים מהשופטים שגזרו את עונשו של</w:t>
      </w:r>
      <w:r>
        <w:rPr>
          <w:rStyle w:val="articletext1"/>
          <w:rFonts w:hint="cs"/>
        </w:rPr>
        <w:t xml:space="preserve">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>.</w:t>
      </w:r>
      <w:r>
        <w:rPr>
          <w:rFonts w:ascii="Arial" w:hAnsi="Arial" w:cs="Arial"/>
        </w:rPr>
        <w:br/>
      </w:r>
      <w:r>
        <w:rPr>
          <w:rStyle w:val="articletext1"/>
          <w:rFonts w:hint="cs"/>
          <w:rtl/>
        </w:rPr>
        <w:t xml:space="preserve">האיש שעל פי הממצאים הלשין על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 xml:space="preserve"> היה שטינקר של צה"ל שנודע בשם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 xml:space="preserve">אבו קאסם, תושב הכפר שובה בדרום לבנון, ושעל סמך הלשנתו הובא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 xml:space="preserve"> לדין, לא הוזמן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כלל להעיד. אחד האנשים הבודדים שהוזמן להעיד הוא ראש אגף החקירות בשב"כ דאז הזכה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 xml:space="preserve">לכינוי "פשוש". האיש זומן להעיד כדי להזים את טענות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>.</w:t>
      </w:r>
      <w:r>
        <w:rPr>
          <w:rStyle w:val="articletext1"/>
          <w:rFonts w:hint="cs"/>
        </w:rPr>
        <w:t xml:space="preserve"> </w:t>
      </w:r>
      <w:r>
        <w:rPr>
          <w:rFonts w:ascii="Arial" w:hAnsi="Arial" w:cs="Arial"/>
        </w:rPr>
        <w:br/>
      </w:r>
      <w:r>
        <w:rPr>
          <w:rStyle w:val="articletext1"/>
          <w:rFonts w:hint="cs"/>
          <w:rtl/>
        </w:rPr>
        <w:t>על פי ההודאות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 xml:space="preserve">שהוצאו </w:t>
      </w:r>
      <w:proofErr w:type="spellStart"/>
      <w:r>
        <w:rPr>
          <w:rStyle w:val="articletext1"/>
          <w:rFonts w:hint="cs"/>
          <w:rtl/>
        </w:rPr>
        <w:t>מנאפסו</w:t>
      </w:r>
      <w:proofErr w:type="spellEnd"/>
      <w:r>
        <w:rPr>
          <w:rStyle w:val="articletext1"/>
          <w:rFonts w:hint="cs"/>
          <w:rtl/>
        </w:rPr>
        <w:t xml:space="preserve"> בעינויים, קבע השב"כ כי במסגרת קשריו ופעילותו בלבנון במסגרת תפקידו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 xml:space="preserve">בצה"ל, העביר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 xml:space="preserve"> מידע על הצבא וסייע להעברת אמצעי לחימה דרך הגבול עם לבנון.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 xml:space="preserve">בחקירתו הודה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 xml:space="preserve"> בהאשמות שיוחסו לו. השופטים נימקו את החלטתם בפסק דין ארוך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ומנומק של 300 עמודים ושלחו אותו ל-18 שנות מאסר. כל אותו זמן אסרה הצנזורה על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 xml:space="preserve">פרסום פרטי הפרשה. ערעור שהגיש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 xml:space="preserve"> בבית דין צבאי לאחר הרשעתו נדחה.</w:t>
      </w:r>
      <w:r>
        <w:rPr>
          <w:rFonts w:hint="cs"/>
        </w:rPr>
        <w:t xml:space="preserve"> </w:t>
      </w:r>
    </w:p>
    <w:p w:rsidR="00D44AD7" w:rsidRDefault="00D44AD7" w:rsidP="00D44AD7">
      <w:pPr>
        <w:rPr>
          <w:rFonts w:ascii="Arial" w:hAnsi="Arial" w:cs="Arial" w:hint="cs"/>
          <w:b/>
          <w:bCs/>
          <w:rtl/>
        </w:rPr>
      </w:pPr>
    </w:p>
    <w:p w:rsidR="00D44AD7" w:rsidRDefault="00D44AD7" w:rsidP="00D44AD7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הזיכוי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rtl/>
        </w:rPr>
        <w:t>והשחרור</w:t>
      </w:r>
    </w:p>
    <w:p w:rsidR="00D44AD7" w:rsidRDefault="00D44AD7" w:rsidP="00D44AD7">
      <w:r>
        <w:rPr>
          <w:rStyle w:val="articletext1"/>
          <w:rFonts w:hint="cs"/>
          <w:rtl/>
        </w:rPr>
        <w:t xml:space="preserve">הדיון בבית המשפט העליון בעניינו של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החל ב- 24 במאי 1987. במהלך הדיון הודיעה המדינה, כי בדיקה נוספת העלתה ממצאים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 xml:space="preserve">התומכים במרבית טענותיו של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>. בעקבות עמדה זו גיבשו הצדדים עסקת טיעון. העסקה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 xml:space="preserve">התקבלה על ידי בית המשפט. פסק הדין המקורי בוטל, </w:t>
      </w:r>
      <w:proofErr w:type="spellStart"/>
      <w:r>
        <w:rPr>
          <w:rStyle w:val="articletext1"/>
          <w:rFonts w:hint="cs"/>
          <w:rtl/>
        </w:rPr>
        <w:t>ונאפסו</w:t>
      </w:r>
      <w:proofErr w:type="spellEnd"/>
      <w:r>
        <w:rPr>
          <w:rStyle w:val="articletext1"/>
          <w:rFonts w:hint="cs"/>
          <w:rtl/>
        </w:rPr>
        <w:t xml:space="preserve"> הודה בעבירת "חריגה מסמכות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עד סיכון ביטחון המדינה". עבור עבירה זו נידון ל 24 חודשי מאסר, אותם ריצה למעשה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 xml:space="preserve">טרום הערעור, ולכן שוחרר </w:t>
      </w:r>
      <w:proofErr w:type="spellStart"/>
      <w:r>
        <w:rPr>
          <w:rStyle w:val="articletext1"/>
          <w:rFonts w:hint="cs"/>
          <w:rtl/>
        </w:rPr>
        <w:t>מייד</w:t>
      </w:r>
      <w:proofErr w:type="spellEnd"/>
      <w:r>
        <w:rPr>
          <w:rStyle w:val="articletext1"/>
          <w:rFonts w:hint="cs"/>
          <w:rtl/>
        </w:rPr>
        <w:t>.</w:t>
      </w:r>
      <w:r>
        <w:rPr>
          <w:rFonts w:ascii="Arial" w:hAnsi="Arial" w:cs="Arial"/>
        </w:rPr>
        <w:br/>
      </w:r>
      <w:r>
        <w:rPr>
          <w:rStyle w:val="articletext1"/>
          <w:rFonts w:hint="cs"/>
          <w:rtl/>
        </w:rPr>
        <w:t>בפסק הדין מתח בית המשפט ביקורת חריפה על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חוקרי השב"כ. בין השאר נקבע כי חוקרי השב"כ אכן נקטו באמצעים בלתי סבירים בחקירה,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וכי גינוסר וחוקרי שב"כ אחרים העידו בבית הדין הצבאי עדות שקר.</w:t>
      </w:r>
      <w:r>
        <w:rPr>
          <w:rFonts w:ascii="Arial" w:hAnsi="Arial" w:cs="Arial"/>
        </w:rPr>
        <w:br/>
      </w:r>
      <w:r>
        <w:rPr>
          <w:rStyle w:val="articletext1"/>
          <w:rFonts w:hint="cs"/>
          <w:rtl/>
        </w:rPr>
        <w:t>לאחר גזר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הדין הורה היועץ המשפטי, יוסף חריש, לחקור את אנשי השב"כ שהיו מעורבים בפרשה. על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 xml:space="preserve">מנת לחלץ את אנשי השב"כ מן החקירה החליטה הממשלה על הקמת וועדת </w:t>
      </w:r>
      <w:proofErr w:type="spellStart"/>
      <w:r>
        <w:rPr>
          <w:rStyle w:val="articletext1"/>
          <w:rFonts w:hint="cs"/>
          <w:rtl/>
        </w:rPr>
        <w:t>לנדוי</w:t>
      </w:r>
      <w:proofErr w:type="spellEnd"/>
      <w:r>
        <w:rPr>
          <w:rStyle w:val="articletext1"/>
          <w:rFonts w:hint="cs"/>
          <w:rtl/>
        </w:rPr>
        <w:t>. וועדה זאת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מונתה, כדי לחקור את שיטות החקירה של השב"כ בנושא פעילות חבלנית עוינת. הוועדה חקרה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והביאה לידיעת הציבור מידע על השימוש בעינויים בחקירות השב"כ, ועל השימוש בעדויות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שקר של חוקרי השב"כ בבית המשפט. הועדה קבעה: "צמרת השירות נכשלה בכך שלא הבינה ששום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עשייה ביטחונית, חשובה וחיונית ככל שתהיה, איננה יכולה להעמיד את עושיה מעל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לחוק".</w:t>
      </w:r>
      <w:r>
        <w:rPr>
          <w:rFonts w:hint="cs"/>
        </w:rPr>
        <w:t xml:space="preserve"> </w:t>
      </w:r>
    </w:p>
    <w:p w:rsidR="00D44AD7" w:rsidRDefault="00D44AD7" w:rsidP="00D44AD7">
      <w:pPr>
        <w:rPr>
          <w:rFonts w:ascii="Arial" w:hAnsi="Arial" w:cs="Arial" w:hint="cs"/>
          <w:b/>
          <w:bCs/>
          <w:rtl/>
        </w:rPr>
      </w:pPr>
    </w:p>
    <w:p w:rsidR="00D44AD7" w:rsidRDefault="00D44AD7" w:rsidP="00D44AD7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פיצויים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rtl/>
        </w:rPr>
        <w:t>כדמי שתיקה</w:t>
      </w:r>
    </w:p>
    <w:p w:rsidR="00D44AD7" w:rsidRDefault="00D44AD7" w:rsidP="00D44AD7">
      <w:r>
        <w:rPr>
          <w:rStyle w:val="articletext1"/>
          <w:rFonts w:hint="cs"/>
          <w:rtl/>
        </w:rPr>
        <w:t xml:space="preserve">בפברואר 1988 עתר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 xml:space="preserve"> </w:t>
      </w:r>
      <w:proofErr w:type="spellStart"/>
      <w:r>
        <w:rPr>
          <w:rStyle w:val="articletext1"/>
          <w:rFonts w:hint="cs"/>
          <w:rtl/>
        </w:rPr>
        <w:t>לבג"צ</w:t>
      </w:r>
      <w:proofErr w:type="spellEnd"/>
      <w:r>
        <w:rPr>
          <w:rStyle w:val="articletext1"/>
          <w:rFonts w:hint="cs"/>
          <w:rtl/>
        </w:rPr>
        <w:t xml:space="preserve"> במטרה לאלץ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 xml:space="preserve">את המשטרה להמשיך בחקירת אנשי השב"כ. העתירה נדחתה. בינואר 1989 הגיש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 xml:space="preserve"> תביעת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 xml:space="preserve">פיצויים נגד המדינה, ובמהלך הדיונים הושג הסכם בין הצדדים. בהסכם התחייב </w:t>
      </w:r>
      <w:proofErr w:type="spellStart"/>
      <w:r>
        <w:rPr>
          <w:rStyle w:val="articletext1"/>
          <w:rFonts w:hint="cs"/>
          <w:rtl/>
        </w:rPr>
        <w:t>נאפסו</w:t>
      </w:r>
      <w:proofErr w:type="spellEnd"/>
      <w:r>
        <w:rPr>
          <w:rStyle w:val="articletext1"/>
          <w:rFonts w:hint="cs"/>
          <w:rtl/>
        </w:rPr>
        <w:t xml:space="preserve"> שלא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לפרסם דבר מפרטי הפרשה, ואילו המדינה מסרה לידיו פיצויים המוערכים בסך של כמיליון</w:t>
      </w:r>
      <w:r>
        <w:rPr>
          <w:rStyle w:val="articletext1"/>
          <w:rFonts w:hint="cs"/>
        </w:rPr>
        <w:t xml:space="preserve"> </w:t>
      </w:r>
      <w:r>
        <w:rPr>
          <w:rStyle w:val="articletext1"/>
          <w:rFonts w:hint="cs"/>
          <w:rtl/>
        </w:rPr>
        <w:t>שקלים, דמי שתיקה.</w:t>
      </w:r>
    </w:p>
    <w:p w:rsidR="002534E8" w:rsidRPr="00D44AD7" w:rsidRDefault="002534E8">
      <w:bookmarkStart w:id="0" w:name="_GoBack"/>
      <w:bookmarkEnd w:id="0"/>
    </w:p>
    <w:sectPr w:rsidR="002534E8" w:rsidRPr="00D44AD7" w:rsidSect="00D44AD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D7"/>
    <w:rsid w:val="002534E8"/>
    <w:rsid w:val="008D7022"/>
    <w:rsid w:val="00D4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D7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D44AD7"/>
    <w:rPr>
      <w:color w:val="0000FF"/>
      <w:u w:val="single"/>
    </w:rPr>
  </w:style>
  <w:style w:type="character" w:customStyle="1" w:styleId="articletext1">
    <w:name w:val="article_text1"/>
    <w:rsid w:val="00D44AD7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D44AD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44A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D7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D44AD7"/>
    <w:rPr>
      <w:color w:val="0000FF"/>
      <w:u w:val="single"/>
    </w:rPr>
  </w:style>
  <w:style w:type="character" w:customStyle="1" w:styleId="articletext1">
    <w:name w:val="article_text1"/>
    <w:rsid w:val="00D44AD7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D44AD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44A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images.nana.co.il/Upload/52005/Article/Article_Paragraph_82535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news@nana.co.i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images.nana.co.il/Upload/52005/Article/Article_Title_825350.jp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2013-01-24T13:22:00Z</dcterms:created>
  <dcterms:modified xsi:type="dcterms:W3CDTF">2013-01-24T13:22:00Z</dcterms:modified>
</cp:coreProperties>
</file>