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31" w:rsidRDefault="00386231" w:rsidP="00386231">
      <w:pPr>
        <w:spacing w:line="360" w:lineRule="auto"/>
        <w:ind w:left="360"/>
        <w:jc w:val="center"/>
        <w:rPr>
          <w:rFonts w:cs="Miriam" w:hint="cs"/>
          <w:b/>
          <w:bCs/>
          <w:u w:val="single"/>
          <w:rtl/>
        </w:rPr>
      </w:pPr>
      <w:r>
        <w:rPr>
          <w:rFonts w:cs="Miriam" w:hint="cs"/>
          <w:b/>
          <w:bCs/>
          <w:u w:val="single"/>
          <w:rtl/>
        </w:rPr>
        <w:t>מבנה מערכת בתי המשפט</w:t>
      </w:r>
    </w:p>
    <w:p w:rsidR="00386231" w:rsidRDefault="00386231" w:rsidP="003862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ind w:left="1276" w:right="1701"/>
        <w:jc w:val="center"/>
        <w:rPr>
          <w:rFonts w:cs="Miriam" w:hint="cs"/>
          <w:b/>
          <w:bCs/>
          <w:u w:val="single"/>
          <w:rtl/>
        </w:rPr>
      </w:pPr>
      <w:r>
        <w:rPr>
          <w:rFonts w:cs="Miriam" w:hint="cs"/>
          <w:b/>
          <w:bCs/>
          <w:u w:val="single"/>
          <w:rtl/>
        </w:rPr>
        <w:t>בית המשפט העליון</w:t>
      </w:r>
    </w:p>
    <w:p w:rsidR="00386231" w:rsidRDefault="00386231" w:rsidP="003862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ind w:left="1276" w:right="1701"/>
        <w:jc w:val="center"/>
        <w:rPr>
          <w:rFonts w:cs="Miriam" w:hint="cs"/>
          <w:rtl/>
        </w:rPr>
      </w:pPr>
      <w:r>
        <w:rPr>
          <w:rFonts w:cs="Miriam" w:hint="cs"/>
          <w:u w:val="single"/>
          <w:rtl/>
        </w:rPr>
        <w:t>מספר שופטים</w:t>
      </w:r>
      <w:r>
        <w:rPr>
          <w:rFonts w:cs="Miriam" w:hint="cs"/>
          <w:rtl/>
        </w:rPr>
        <w:t>: בדרך כלל 3, במקרים מיוחדים 5, 7, 9 או 11.</w:t>
      </w:r>
    </w:p>
    <w:p w:rsidR="00386231" w:rsidRDefault="00386231" w:rsidP="003862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ind w:left="1276" w:right="1701"/>
        <w:jc w:val="center"/>
        <w:rPr>
          <w:rFonts w:cs="Miriam" w:hint="cs"/>
          <w:u w:val="single"/>
          <w:rtl/>
        </w:rPr>
      </w:pPr>
    </w:p>
    <w:p w:rsidR="00386231" w:rsidRDefault="00386231" w:rsidP="003862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ind w:left="1276" w:right="1701"/>
        <w:jc w:val="center"/>
        <w:rPr>
          <w:rFonts w:cs="Miriam" w:hint="cs"/>
          <w:rtl/>
        </w:rPr>
      </w:pPr>
      <w:r>
        <w:rPr>
          <w:rFonts w:cs="Miriam" w:hint="cs"/>
          <w:u w:val="single"/>
          <w:rtl/>
        </w:rPr>
        <w:t>סמכות כערכאת ערעור בלבד</w:t>
      </w:r>
      <w:r>
        <w:rPr>
          <w:rFonts w:cs="Miriam" w:hint="cs"/>
          <w:rtl/>
        </w:rPr>
        <w:t>:</w:t>
      </w:r>
    </w:p>
    <w:p w:rsidR="00386231" w:rsidRDefault="00386231" w:rsidP="003862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ind w:left="1276" w:right="1701"/>
        <w:jc w:val="center"/>
        <w:rPr>
          <w:rFonts w:cs="Miriam" w:hint="cs"/>
          <w:rtl/>
        </w:rPr>
      </w:pPr>
      <w:r>
        <w:rPr>
          <w:rFonts w:cs="Miriam" w:hint="cs"/>
          <w:rtl/>
        </w:rPr>
        <w:t>ערכאת ערעור ראשונה (בזכות) – על משפטים שהחלו בבית משפט מחוזי.</w:t>
      </w:r>
    </w:p>
    <w:p w:rsidR="00386231" w:rsidRDefault="00386231" w:rsidP="003862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line="360" w:lineRule="auto"/>
        <w:ind w:left="1276" w:right="1701"/>
        <w:jc w:val="center"/>
        <w:rPr>
          <w:rFonts w:cs="Miriam" w:hint="cs"/>
          <w:rtl/>
        </w:rPr>
      </w:pPr>
      <w:r>
        <w:rPr>
          <w:rFonts w:cs="Miriam" w:hint="cs"/>
          <w:rtl/>
        </w:rPr>
        <w:t>ערכאת ערעור שניה (ברשות) – על משפטים שהחלו בבית משפט שלום.</w:t>
      </w:r>
    </w:p>
    <w:p w:rsidR="00386231" w:rsidRDefault="00386231" w:rsidP="00386231">
      <w:pPr>
        <w:spacing w:line="360" w:lineRule="auto"/>
        <w:ind w:left="360"/>
        <w:rPr>
          <w:rFonts w:cs="Miriam" w:hint="cs"/>
          <w:rtl/>
        </w:rPr>
      </w:pPr>
      <w:r>
        <w:rPr>
          <w:rFonts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86238" wp14:editId="2B9CCF31">
                <wp:simplePos x="0" y="0"/>
                <wp:positionH relativeFrom="column">
                  <wp:posOffset>3409950</wp:posOffset>
                </wp:positionH>
                <wp:positionV relativeFrom="paragraph">
                  <wp:posOffset>120650</wp:posOffset>
                </wp:positionV>
                <wp:extent cx="0" cy="352425"/>
                <wp:effectExtent l="76200" t="38100" r="57150" b="9525"/>
                <wp:wrapNone/>
                <wp:docPr id="4" name="מחבר יש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pt,9.5pt" to="268.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">
                <v:stroke endarrow="block"/>
              </v:line>
            </w:pict>
          </mc:Fallback>
        </mc:AlternateContent>
      </w:r>
    </w:p>
    <w:p w:rsidR="00386231" w:rsidRDefault="00386231" w:rsidP="00386231">
      <w:pPr>
        <w:spacing w:line="360" w:lineRule="auto"/>
        <w:ind w:left="360"/>
        <w:rPr>
          <w:rFonts w:cs="Miriam" w:hint="cs"/>
          <w:rtl/>
        </w:rPr>
      </w:pPr>
    </w:p>
    <w:p w:rsidR="00386231" w:rsidRDefault="00386231" w:rsidP="00386231">
      <w:pPr>
        <w:spacing w:line="360" w:lineRule="auto"/>
        <w:ind w:left="360"/>
        <w:rPr>
          <w:rFonts w:cs="Miriam" w:hint="cs"/>
          <w:rtl/>
        </w:rPr>
      </w:pPr>
      <w:r>
        <w:rPr>
          <w:rFonts w:hint="cs"/>
          <w:noProof/>
          <w:szCs w:val="20"/>
          <w:rtl/>
        </w:rPr>
        <w:drawing>
          <wp:anchor distT="0" distB="0" distL="114300" distR="114300" simplePos="0" relativeHeight="251661312" behindDoc="0" locked="0" layoutInCell="1" allowOverlap="1" wp14:anchorId="1621031C" wp14:editId="0B810BB6">
            <wp:simplePos x="0" y="0"/>
            <wp:positionH relativeFrom="column">
              <wp:posOffset>2816860</wp:posOffset>
            </wp:positionH>
            <wp:positionV relativeFrom="paragraph">
              <wp:posOffset>3810</wp:posOffset>
            </wp:positionV>
            <wp:extent cx="1158240" cy="866775"/>
            <wp:effectExtent l="0" t="0" r="3810" b="9525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231" w:rsidRDefault="00386231" w:rsidP="00386231">
      <w:pPr>
        <w:spacing w:line="360" w:lineRule="auto"/>
        <w:ind w:left="360"/>
        <w:rPr>
          <w:rFonts w:cs="Miriam" w:hint="cs"/>
          <w:rtl/>
        </w:rPr>
      </w:pPr>
    </w:p>
    <w:p w:rsidR="00386231" w:rsidRDefault="00386231" w:rsidP="00386231">
      <w:pPr>
        <w:spacing w:line="360" w:lineRule="auto"/>
        <w:ind w:left="360"/>
        <w:rPr>
          <w:rFonts w:cs="Miriam" w:hint="cs"/>
          <w:rtl/>
        </w:rPr>
      </w:pPr>
    </w:p>
    <w:p w:rsidR="00386231" w:rsidRDefault="00386231" w:rsidP="00386231">
      <w:pPr>
        <w:spacing w:line="360" w:lineRule="auto"/>
        <w:ind w:left="360"/>
        <w:rPr>
          <w:rFonts w:cs="Miriam" w:hint="cs"/>
          <w:rtl/>
        </w:rPr>
      </w:pPr>
    </w:p>
    <w:p w:rsidR="00386231" w:rsidRDefault="00386231" w:rsidP="003862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8788"/>
        </w:tabs>
        <w:spacing w:line="360" w:lineRule="auto"/>
        <w:ind w:left="426" w:right="850"/>
        <w:jc w:val="center"/>
        <w:rPr>
          <w:rFonts w:cs="Miriam" w:hint="cs"/>
          <w:u w:val="single"/>
          <w:rtl/>
        </w:rPr>
      </w:pPr>
      <w:r>
        <w:rPr>
          <w:rFonts w:cs="Miriam" w:hint="cs"/>
          <w:b/>
          <w:bCs/>
          <w:u w:val="single"/>
          <w:rtl/>
        </w:rPr>
        <w:t>בית המשפט המחוזי</w:t>
      </w:r>
    </w:p>
    <w:p w:rsidR="00386231" w:rsidRDefault="00386231" w:rsidP="003862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8788"/>
        </w:tabs>
        <w:spacing w:line="360" w:lineRule="auto"/>
        <w:ind w:left="426" w:right="850"/>
        <w:jc w:val="center"/>
        <w:rPr>
          <w:rFonts w:cs="Miriam" w:hint="cs"/>
          <w:rtl/>
        </w:rPr>
      </w:pPr>
      <w:r>
        <w:rPr>
          <w:rFonts w:cs="Miriam" w:hint="cs"/>
          <w:u w:val="single"/>
          <w:rtl/>
        </w:rPr>
        <w:t xml:space="preserve">מספר שופטים: </w:t>
      </w:r>
      <w:r>
        <w:rPr>
          <w:rFonts w:cs="Miriam" w:hint="cs"/>
          <w:rtl/>
        </w:rPr>
        <w:t>בדרך כלל 1. בערעור או בעבירות חמורות 3.</w:t>
      </w:r>
    </w:p>
    <w:p w:rsidR="00386231" w:rsidRDefault="00386231" w:rsidP="003862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8788"/>
        </w:tabs>
        <w:spacing w:line="360" w:lineRule="auto"/>
        <w:ind w:left="426" w:right="850"/>
        <w:jc w:val="center"/>
        <w:rPr>
          <w:rFonts w:cs="Miriam" w:hint="cs"/>
          <w:u w:val="single"/>
          <w:rtl/>
        </w:rPr>
      </w:pPr>
    </w:p>
    <w:p w:rsidR="00386231" w:rsidRDefault="00386231" w:rsidP="003862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8788"/>
        </w:tabs>
        <w:spacing w:line="360" w:lineRule="auto"/>
        <w:ind w:left="426" w:right="850"/>
        <w:jc w:val="center"/>
        <w:rPr>
          <w:rFonts w:cs="Miriam" w:hint="cs"/>
          <w:rtl/>
        </w:rPr>
      </w:pPr>
      <w:r>
        <w:rPr>
          <w:rFonts w:cs="Miriam" w:hint="cs"/>
          <w:u w:val="single"/>
          <w:rtl/>
        </w:rPr>
        <w:t>סמכות</w:t>
      </w:r>
      <w:r>
        <w:rPr>
          <w:rFonts w:cs="Miriam" w:hint="cs"/>
          <w:rtl/>
        </w:rPr>
        <w:t>:</w:t>
      </w:r>
    </w:p>
    <w:p w:rsidR="00386231" w:rsidRDefault="00386231" w:rsidP="003862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8788"/>
        </w:tabs>
        <w:spacing w:line="360" w:lineRule="auto"/>
        <w:ind w:left="426" w:right="850"/>
        <w:jc w:val="center"/>
        <w:rPr>
          <w:rFonts w:cs="Miriam" w:hint="cs"/>
          <w:rtl/>
        </w:rPr>
      </w:pPr>
      <w:r>
        <w:rPr>
          <w:rFonts w:cs="Miriam" w:hint="cs"/>
          <w:rtl/>
        </w:rPr>
        <w:t>כערכאה ראשונה – עבירות שעונשן מעל 7 שנות מאסר.</w:t>
      </w:r>
    </w:p>
    <w:p w:rsidR="00386231" w:rsidRDefault="00386231" w:rsidP="003862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8788"/>
        </w:tabs>
        <w:spacing w:line="360" w:lineRule="auto"/>
        <w:ind w:left="426" w:right="850"/>
        <w:jc w:val="center"/>
        <w:rPr>
          <w:rFonts w:cs="Miriam" w:hint="cs"/>
          <w:rtl/>
        </w:rPr>
      </w:pPr>
      <w:r>
        <w:rPr>
          <w:rFonts w:cs="Miriam" w:hint="cs"/>
          <w:rtl/>
        </w:rPr>
        <w:t>כערכאת ערעור – ערכאת ערעור ראשונה (בזכות).</w:t>
      </w:r>
    </w:p>
    <w:p w:rsidR="00386231" w:rsidRDefault="00386231" w:rsidP="00386231">
      <w:pPr>
        <w:spacing w:line="360" w:lineRule="auto"/>
        <w:ind w:left="360"/>
        <w:rPr>
          <w:rFonts w:cs="Miriam" w:hint="cs"/>
          <w:rtl/>
        </w:rPr>
      </w:pPr>
      <w:r>
        <w:rPr>
          <w:rFonts w:hint="cs"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823DF" wp14:editId="1B550CB6">
                <wp:simplePos x="0" y="0"/>
                <wp:positionH relativeFrom="column">
                  <wp:posOffset>3486150</wp:posOffset>
                </wp:positionH>
                <wp:positionV relativeFrom="paragraph">
                  <wp:posOffset>27305</wp:posOffset>
                </wp:positionV>
                <wp:extent cx="0" cy="361950"/>
                <wp:effectExtent l="76200" t="38100" r="57150" b="19050"/>
                <wp:wrapNone/>
                <wp:docPr id="2" name="מחבר יש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2.15pt" to="274.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386231" w:rsidRDefault="00386231" w:rsidP="00386231">
      <w:pPr>
        <w:spacing w:line="360" w:lineRule="auto"/>
        <w:ind w:left="360"/>
        <w:rPr>
          <w:rFonts w:cs="Miriam" w:hint="cs"/>
          <w:rtl/>
        </w:rPr>
      </w:pPr>
      <w:bookmarkStart w:id="0" w:name="_GoBack"/>
      <w:bookmarkEnd w:id="0"/>
      <w:r>
        <w:rPr>
          <w:rFonts w:hint="cs"/>
          <w:noProof/>
          <w:szCs w:val="20"/>
          <w:rtl/>
        </w:rPr>
        <w:drawing>
          <wp:anchor distT="0" distB="0" distL="114300" distR="114300" simplePos="0" relativeHeight="251662336" behindDoc="0" locked="0" layoutInCell="1" allowOverlap="1" wp14:anchorId="2AE47478" wp14:editId="1954ECC6">
            <wp:simplePos x="0" y="0"/>
            <wp:positionH relativeFrom="column">
              <wp:posOffset>2940685</wp:posOffset>
            </wp:positionH>
            <wp:positionV relativeFrom="paragraph">
              <wp:posOffset>202565</wp:posOffset>
            </wp:positionV>
            <wp:extent cx="1143000" cy="855345"/>
            <wp:effectExtent l="0" t="0" r="0" b="190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231" w:rsidRDefault="00386231" w:rsidP="00386231">
      <w:pPr>
        <w:spacing w:line="360" w:lineRule="auto"/>
        <w:ind w:left="360"/>
        <w:rPr>
          <w:rFonts w:cs="Miriam" w:hint="cs"/>
          <w:rtl/>
        </w:rPr>
      </w:pPr>
    </w:p>
    <w:p w:rsidR="00386231" w:rsidRDefault="00386231" w:rsidP="00386231">
      <w:pPr>
        <w:spacing w:line="360" w:lineRule="auto"/>
        <w:ind w:left="360"/>
        <w:rPr>
          <w:rFonts w:cs="Miriam" w:hint="cs"/>
          <w:rtl/>
        </w:rPr>
      </w:pPr>
    </w:p>
    <w:p w:rsidR="00386231" w:rsidRDefault="00386231" w:rsidP="00386231">
      <w:pPr>
        <w:spacing w:line="360" w:lineRule="auto"/>
        <w:ind w:left="360"/>
        <w:rPr>
          <w:rFonts w:cs="Miriam" w:hint="cs"/>
          <w:rtl/>
        </w:rPr>
      </w:pPr>
    </w:p>
    <w:p w:rsidR="00386231" w:rsidRDefault="00386231" w:rsidP="00386231">
      <w:pPr>
        <w:spacing w:line="360" w:lineRule="auto"/>
        <w:ind w:left="360"/>
        <w:rPr>
          <w:rFonts w:cs="Miriam" w:hint="cs"/>
          <w:rtl/>
        </w:rPr>
      </w:pPr>
    </w:p>
    <w:p w:rsidR="00386231" w:rsidRDefault="00386231" w:rsidP="0038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/>
        <w:jc w:val="center"/>
        <w:rPr>
          <w:rFonts w:cs="Miriam" w:hint="cs"/>
          <w:b/>
          <w:bCs/>
          <w:u w:val="single"/>
          <w:rtl/>
        </w:rPr>
      </w:pPr>
      <w:r>
        <w:rPr>
          <w:rFonts w:cs="Miriam" w:hint="cs"/>
          <w:b/>
          <w:bCs/>
          <w:u w:val="single"/>
          <w:rtl/>
        </w:rPr>
        <w:t>בית המשפט השלום</w:t>
      </w:r>
    </w:p>
    <w:p w:rsidR="00386231" w:rsidRDefault="00386231" w:rsidP="0038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/>
        <w:jc w:val="center"/>
        <w:rPr>
          <w:rFonts w:cs="Miriam" w:hint="cs"/>
          <w:rtl/>
        </w:rPr>
      </w:pPr>
      <w:r>
        <w:rPr>
          <w:rFonts w:cs="Miriam" w:hint="cs"/>
          <w:u w:val="single"/>
          <w:rtl/>
        </w:rPr>
        <w:t>מספר שופטים</w:t>
      </w:r>
      <w:r>
        <w:rPr>
          <w:rFonts w:cs="Miriam" w:hint="cs"/>
          <w:rtl/>
        </w:rPr>
        <w:t>: אחד.</w:t>
      </w:r>
    </w:p>
    <w:p w:rsidR="00386231" w:rsidRDefault="00386231" w:rsidP="0038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/>
        <w:jc w:val="center"/>
        <w:rPr>
          <w:rFonts w:cs="Miriam" w:hint="cs"/>
          <w:rtl/>
        </w:rPr>
      </w:pPr>
    </w:p>
    <w:p w:rsidR="00386231" w:rsidRDefault="00386231" w:rsidP="003862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/>
        <w:jc w:val="center"/>
        <w:rPr>
          <w:rFonts w:cs="Miriam" w:hint="cs"/>
          <w:rtl/>
        </w:rPr>
      </w:pPr>
      <w:r>
        <w:rPr>
          <w:rFonts w:cs="Miriam" w:hint="cs"/>
          <w:u w:val="single"/>
          <w:rtl/>
        </w:rPr>
        <w:t>סמכות כערכאה ראשונה</w:t>
      </w:r>
      <w:r>
        <w:rPr>
          <w:rFonts w:cs="Miriam" w:hint="cs"/>
          <w:rtl/>
        </w:rPr>
        <w:t>: עבירות שעונשן עד 7 שנות מאסר.</w:t>
      </w:r>
    </w:p>
    <w:p w:rsidR="00386231" w:rsidRDefault="00386231" w:rsidP="00386231">
      <w:pPr>
        <w:spacing w:line="360" w:lineRule="auto"/>
        <w:ind w:left="360"/>
        <w:rPr>
          <w:rFonts w:cs="Miriam" w:hint="cs"/>
          <w:rtl/>
        </w:rPr>
      </w:pPr>
    </w:p>
    <w:p w:rsidR="00386231" w:rsidRDefault="00386231" w:rsidP="00386231">
      <w:pPr>
        <w:spacing w:line="360" w:lineRule="auto"/>
        <w:ind w:left="360"/>
        <w:jc w:val="center"/>
        <w:rPr>
          <w:rFonts w:cs="Miriam" w:hint="cs"/>
          <w:b/>
          <w:bCs/>
          <w:u w:val="single"/>
          <w:rtl/>
        </w:rPr>
      </w:pPr>
      <w:r>
        <w:rPr>
          <w:rFonts w:cs="Miriam" w:hint="cs"/>
          <w:b/>
          <w:bCs/>
          <w:u w:val="single"/>
          <w:rtl/>
        </w:rPr>
        <w:t>הגדרות</w:t>
      </w:r>
    </w:p>
    <w:p w:rsidR="00386231" w:rsidRDefault="00386231" w:rsidP="00386231">
      <w:pPr>
        <w:numPr>
          <w:ilvl w:val="0"/>
          <w:numId w:val="1"/>
        </w:numPr>
        <w:spacing w:line="360" w:lineRule="auto"/>
        <w:ind w:left="1440"/>
        <w:rPr>
          <w:rFonts w:cs="Miriam" w:hint="cs"/>
          <w:rtl/>
        </w:rPr>
      </w:pPr>
      <w:r>
        <w:rPr>
          <w:rFonts w:cs="Miriam" w:hint="cs"/>
          <w:b/>
          <w:bCs/>
          <w:rtl/>
        </w:rPr>
        <w:t>ערכאה</w:t>
      </w:r>
      <w:r>
        <w:rPr>
          <w:rFonts w:cs="Miriam" w:hint="cs"/>
          <w:rtl/>
        </w:rPr>
        <w:t xml:space="preserve"> – דרגה במהלך המשפט.</w:t>
      </w:r>
    </w:p>
    <w:p w:rsidR="00386231" w:rsidRDefault="00386231" w:rsidP="00386231">
      <w:pPr>
        <w:numPr>
          <w:ilvl w:val="0"/>
          <w:numId w:val="1"/>
        </w:numPr>
        <w:spacing w:line="360" w:lineRule="auto"/>
        <w:ind w:left="1440"/>
        <w:rPr>
          <w:rFonts w:cs="Miriam" w:hint="cs"/>
          <w:rtl/>
        </w:rPr>
      </w:pPr>
      <w:r>
        <w:rPr>
          <w:rFonts w:cs="Miriam" w:hint="cs"/>
          <w:b/>
          <w:bCs/>
          <w:rtl/>
        </w:rPr>
        <w:t>הכרעת דין</w:t>
      </w:r>
      <w:r>
        <w:rPr>
          <w:rFonts w:cs="Miriam" w:hint="cs"/>
          <w:rtl/>
        </w:rPr>
        <w:t xml:space="preserve"> – החלטה של השופט אם הנאשם אשם או זכאי.</w:t>
      </w:r>
    </w:p>
    <w:p w:rsidR="00386231" w:rsidRDefault="00386231" w:rsidP="00386231">
      <w:pPr>
        <w:numPr>
          <w:ilvl w:val="0"/>
          <w:numId w:val="1"/>
        </w:numPr>
        <w:spacing w:line="360" w:lineRule="auto"/>
        <w:ind w:left="1440"/>
        <w:rPr>
          <w:rFonts w:cs="Miriam"/>
        </w:rPr>
      </w:pPr>
      <w:r>
        <w:rPr>
          <w:rFonts w:cs="Miriam" w:hint="cs"/>
          <w:b/>
          <w:bCs/>
          <w:rtl/>
        </w:rPr>
        <w:t>גזר דין</w:t>
      </w:r>
      <w:r>
        <w:rPr>
          <w:rFonts w:cs="Miriam" w:hint="cs"/>
          <w:rtl/>
        </w:rPr>
        <w:t xml:space="preserve"> – החלטת השופט לגבי העונש.</w:t>
      </w:r>
    </w:p>
    <w:p w:rsidR="00386231" w:rsidRDefault="00386231" w:rsidP="00386231">
      <w:pPr>
        <w:numPr>
          <w:ilvl w:val="0"/>
          <w:numId w:val="1"/>
        </w:numPr>
        <w:spacing w:line="360" w:lineRule="auto"/>
        <w:ind w:left="1440"/>
        <w:rPr>
          <w:rFonts w:cs="Miriam"/>
        </w:rPr>
      </w:pPr>
      <w:r>
        <w:rPr>
          <w:rFonts w:cs="Miriam" w:hint="cs"/>
          <w:b/>
          <w:bCs/>
          <w:rtl/>
        </w:rPr>
        <w:t>פסק דין</w:t>
      </w:r>
      <w:r>
        <w:rPr>
          <w:rFonts w:cs="Miriam" w:hint="cs"/>
          <w:rtl/>
        </w:rPr>
        <w:t xml:space="preserve"> = (הכרעת דין + גזר דין)</w:t>
      </w:r>
    </w:p>
    <w:p w:rsidR="00386231" w:rsidRDefault="00386231" w:rsidP="00386231">
      <w:pPr>
        <w:numPr>
          <w:ilvl w:val="0"/>
          <w:numId w:val="1"/>
        </w:numPr>
        <w:spacing w:line="360" w:lineRule="auto"/>
        <w:ind w:left="1440"/>
        <w:rPr>
          <w:rFonts w:cs="Miriam"/>
        </w:rPr>
      </w:pPr>
      <w:r>
        <w:rPr>
          <w:rFonts w:cs="Miriam" w:hint="cs"/>
          <w:b/>
          <w:bCs/>
          <w:rtl/>
        </w:rPr>
        <w:t>ערעור</w:t>
      </w:r>
      <w:r>
        <w:rPr>
          <w:rFonts w:cs="Miriam" w:hint="cs"/>
          <w:rtl/>
        </w:rPr>
        <w:t xml:space="preserve"> – בקשה של אחד הצדדים מאת ערכאה גבוהה יותר לבטל את פסק הדין או את גזר הדין של הערכאה הנמוכה ולתת במקומו פסק דין או גזר דין אחר.</w:t>
      </w:r>
    </w:p>
    <w:p w:rsidR="00386231" w:rsidRDefault="00386231" w:rsidP="00386231">
      <w:pPr>
        <w:spacing w:line="360" w:lineRule="auto"/>
        <w:ind w:left="360"/>
        <w:rPr>
          <w:rFonts w:cs="Miriam" w:hint="cs"/>
          <w:rtl/>
        </w:rPr>
      </w:pPr>
    </w:p>
    <w:p w:rsidR="00380701" w:rsidRDefault="00380701" w:rsidP="00386231"/>
    <w:sectPr w:rsidR="00380701" w:rsidSect="0038623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61B93"/>
    <w:multiLevelType w:val="hybridMultilevel"/>
    <w:tmpl w:val="E432D946"/>
    <w:lvl w:ilvl="0" w:tplc="EE20F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31"/>
    <w:rsid w:val="00380701"/>
    <w:rsid w:val="00386231"/>
    <w:rsid w:val="008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31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31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2013-03-31T08:39:00Z</dcterms:created>
  <dcterms:modified xsi:type="dcterms:W3CDTF">2013-03-31T08:41:00Z</dcterms:modified>
</cp:coreProperties>
</file>