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72" w:rsidRPr="00AD28BA" w:rsidRDefault="00C42372" w:rsidP="00C42372">
      <w:pPr>
        <w:spacing w:line="360" w:lineRule="auto"/>
        <w:jc w:val="center"/>
        <w:rPr>
          <w:rFonts w:ascii="Arial" w:hAnsi="Arial" w:cs="Arial"/>
          <w:sz w:val="22"/>
          <w:szCs w:val="22"/>
          <w:u w:val="single"/>
          <w:rtl/>
        </w:rPr>
      </w:pPr>
      <w:r w:rsidRPr="00AD28BA">
        <w:rPr>
          <w:rFonts w:ascii="Arial" w:hAnsi="Arial" w:cs="Arial"/>
          <w:sz w:val="22"/>
          <w:szCs w:val="22"/>
          <w:u w:val="single"/>
          <w:rtl/>
        </w:rPr>
        <w:t>שים לב! חשוב ביותר!</w:t>
      </w:r>
    </w:p>
    <w:p w:rsidR="00C42372" w:rsidRPr="00AD28BA" w:rsidRDefault="00C42372" w:rsidP="00C42372">
      <w:pPr>
        <w:spacing w:line="360" w:lineRule="auto"/>
        <w:rPr>
          <w:rFonts w:ascii="Arial" w:hAnsi="Arial" w:cs="Arial"/>
          <w:sz w:val="22"/>
          <w:szCs w:val="22"/>
          <w:rtl/>
        </w:rPr>
      </w:pPr>
      <w:r w:rsidRPr="00AD28BA">
        <w:rPr>
          <w:rFonts w:ascii="Arial" w:hAnsi="Arial" w:cs="Arial"/>
          <w:sz w:val="22"/>
          <w:szCs w:val="22"/>
          <w:rtl/>
        </w:rPr>
        <w:t>המידע להלן, בדבר עמדת ההלכה בנושא המתת חסד ובדבר חוק החולה הנוטה למות, שחוקק בדצמבר 2005, יועבר רק אחרי המשפט המבוים!</w:t>
      </w:r>
    </w:p>
    <w:p w:rsidR="00C42372" w:rsidRPr="00AD28BA" w:rsidRDefault="00C42372" w:rsidP="00C42372">
      <w:pPr>
        <w:spacing w:line="360" w:lineRule="auto"/>
        <w:rPr>
          <w:rFonts w:ascii="Arial" w:hAnsi="Arial" w:cs="Arial"/>
          <w:sz w:val="22"/>
          <w:szCs w:val="22"/>
          <w:rtl/>
        </w:rPr>
      </w:pPr>
      <w:r w:rsidRPr="00AD28BA">
        <w:rPr>
          <w:rFonts w:ascii="Arial" w:hAnsi="Arial" w:cs="Arial"/>
          <w:sz w:val="22"/>
          <w:szCs w:val="22"/>
          <w:rtl/>
        </w:rPr>
        <w:t xml:space="preserve">אין צורך לחלק דפים לתלמידים. </w:t>
      </w:r>
    </w:p>
    <w:p w:rsidR="00C42372" w:rsidRPr="00AD28BA" w:rsidRDefault="00C42372" w:rsidP="00C42372">
      <w:pPr>
        <w:spacing w:line="360" w:lineRule="auto"/>
        <w:rPr>
          <w:rFonts w:ascii="Arial" w:hAnsi="Arial" w:cs="Arial"/>
          <w:sz w:val="22"/>
          <w:szCs w:val="22"/>
          <w:rtl/>
        </w:rPr>
      </w:pPr>
      <w:r w:rsidRPr="00AD28BA">
        <w:rPr>
          <w:rFonts w:ascii="Arial" w:hAnsi="Arial" w:cs="Arial"/>
          <w:sz w:val="22"/>
          <w:szCs w:val="22"/>
          <w:rtl/>
        </w:rPr>
        <w:t>העברת הנושא מבחינת דרכי הוראה, דיונים קבוצתיים / כיתתיים ומשך הזמן שיוקצב לנושא הינם לשיקול דעתך, בהתאם לכיתות השונות שלך!</w:t>
      </w:r>
    </w:p>
    <w:p w:rsidR="00C42372" w:rsidRPr="00AD28BA" w:rsidRDefault="00C42372" w:rsidP="00C42372">
      <w:pPr>
        <w:spacing w:line="360" w:lineRule="auto"/>
        <w:rPr>
          <w:rFonts w:ascii="Arial" w:hAnsi="Arial" w:cs="Arial"/>
          <w:sz w:val="22"/>
          <w:szCs w:val="22"/>
          <w:rtl/>
        </w:rPr>
      </w:pP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b/>
          <w:bCs/>
          <w:sz w:val="22"/>
          <w:szCs w:val="22"/>
          <w:u w:val="single"/>
          <w:rtl/>
        </w:rPr>
      </w:pPr>
      <w:r w:rsidRPr="00AD28BA">
        <w:rPr>
          <w:rFonts w:ascii="Arial" w:hAnsi="Arial" w:cs="Arial"/>
          <w:b/>
          <w:bCs/>
          <w:sz w:val="22"/>
          <w:szCs w:val="22"/>
          <w:u w:val="single"/>
          <w:rtl/>
        </w:rPr>
        <w:t>עמדת ההלכה:</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sz w:val="22"/>
          <w:szCs w:val="22"/>
          <w:rtl/>
        </w:rPr>
        <w:t xml:space="preserve">פוסקי הלכה רבים קבעו כי המקרב מותו של אדם נחשב כמי ששופך דמים. </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sz w:val="22"/>
          <w:szCs w:val="22"/>
          <w:rtl/>
        </w:rPr>
        <w:t xml:space="preserve">לדוגמה: </w:t>
      </w:r>
      <w:r w:rsidRPr="00AD28BA">
        <w:rPr>
          <w:rFonts w:ascii="Arial" w:hAnsi="Arial" w:cs="Arial"/>
          <w:b/>
          <w:bCs/>
          <w:sz w:val="22"/>
          <w:szCs w:val="22"/>
          <w:rtl/>
        </w:rPr>
        <w:t>הרמב"ם בהלכות רוצח פרק ב הלכה ז'</w:t>
      </w:r>
      <w:r w:rsidRPr="00AD28BA">
        <w:rPr>
          <w:rFonts w:ascii="Arial" w:hAnsi="Arial" w:cs="Arial"/>
          <w:sz w:val="22"/>
          <w:szCs w:val="22"/>
          <w:rtl/>
        </w:rPr>
        <w:t xml:space="preserve"> קובע כי "אחד, ההורג את הבריא או את החולה הנוטה למות ואפילו הרג את הגוסס נהרג עליו..."</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sz w:val="22"/>
          <w:szCs w:val="22"/>
          <w:rtl/>
        </w:rPr>
        <w:t xml:space="preserve">גם </w:t>
      </w:r>
      <w:r w:rsidRPr="00AD28BA">
        <w:rPr>
          <w:rFonts w:ascii="Arial" w:hAnsi="Arial" w:cs="Arial"/>
          <w:b/>
          <w:bCs/>
          <w:sz w:val="22"/>
          <w:szCs w:val="22"/>
          <w:rtl/>
        </w:rPr>
        <w:t>השולחן ערוך בכרך יורה דעה</w:t>
      </w:r>
      <w:r w:rsidRPr="00AD28BA">
        <w:rPr>
          <w:rFonts w:ascii="Arial" w:hAnsi="Arial" w:cs="Arial"/>
          <w:sz w:val="22"/>
          <w:szCs w:val="22"/>
          <w:rtl/>
        </w:rPr>
        <w:t xml:space="preserve"> קובע כי " (א) הגוסס הרי הוא כחי לכל דבר</w:t>
      </w:r>
      <w:r w:rsidRPr="00AD28BA">
        <w:rPr>
          <w:rFonts w:ascii="Arial" w:hAnsi="Arial" w:cs="Arial"/>
          <w:sz w:val="22"/>
          <w:szCs w:val="22"/>
        </w:rPr>
        <w:t>…</w:t>
      </w:r>
      <w:r w:rsidRPr="00AD28BA">
        <w:rPr>
          <w:rFonts w:ascii="Arial" w:hAnsi="Arial" w:cs="Arial"/>
          <w:sz w:val="22"/>
          <w:szCs w:val="22"/>
          <w:rtl/>
        </w:rPr>
        <w:t xml:space="preserve"> </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b/>
          <w:bCs/>
          <w:sz w:val="22"/>
          <w:szCs w:val="22"/>
          <w:rtl/>
        </w:rPr>
        <w:t>ערוך השולחן בכרך יורה דעה</w:t>
      </w:r>
      <w:r w:rsidRPr="00AD28BA">
        <w:rPr>
          <w:rFonts w:ascii="Arial" w:hAnsi="Arial" w:cs="Arial"/>
          <w:sz w:val="22"/>
          <w:szCs w:val="22"/>
          <w:rtl/>
        </w:rPr>
        <w:t xml:space="preserve"> נותן טעם לדבר </w:t>
      </w:r>
      <w:r w:rsidRPr="00AD28BA">
        <w:rPr>
          <w:rFonts w:ascii="Arial" w:hAnsi="Arial" w:cs="Arial"/>
          <w:sz w:val="22"/>
          <w:szCs w:val="22"/>
        </w:rPr>
        <w:t>–</w:t>
      </w:r>
      <w:r w:rsidRPr="00AD28BA">
        <w:rPr>
          <w:rFonts w:ascii="Arial" w:hAnsi="Arial" w:cs="Arial"/>
          <w:sz w:val="22"/>
          <w:szCs w:val="22"/>
          <w:rtl/>
        </w:rPr>
        <w:t xml:space="preserve"> "אסור לנו לעשות דבר המקרב מיתתו של אדם כי העולם ומלואו - של הקב"ה וכך רצונו יתברך .."  תהליך החיים והמיתה של אדם הם בידי האל ואם רצונו של האל הוא כזה הרי שאין להתערב בכך. </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sz w:val="22"/>
          <w:szCs w:val="22"/>
          <w:rtl/>
        </w:rPr>
        <w:t>עד כאן עולה בבירור כי אין לבצע כל פעולה שגורמת למותו של אדם אשר עדיין חי.</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sz w:val="22"/>
          <w:szCs w:val="22"/>
          <w:rtl/>
        </w:rPr>
        <w:t xml:space="preserve">דבר אחד כן מותר לעשות- להסיר דבר המונע את יציאת הנפש. </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sz w:val="22"/>
          <w:szCs w:val="22"/>
          <w:rtl/>
        </w:rPr>
        <w:t>במה דברים אמורים?  כאשר קיימים מכשירים חיצוניים אשר ממשיכים להחזיק את החולה בחיים והם הדבר היחיד המחזיק אותו בחיים, הרי שמותר להסיר את המכשירים המונעים את המוות. אם האדם בעצם כבר מת והדבר היחיד אשר מחזיק אותו בחיים הם אותם מכשירים הרי שמותר להסירם. לדוגמה: מכונות הנשמה.</w:t>
      </w:r>
    </w:p>
    <w:p w:rsidR="00C42372" w:rsidRPr="00AD28BA" w:rsidRDefault="00C42372" w:rsidP="00C42372">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sidRPr="00AD28BA">
        <w:rPr>
          <w:rFonts w:ascii="Arial" w:hAnsi="Arial" w:cs="Arial"/>
          <w:sz w:val="22"/>
          <w:szCs w:val="22"/>
          <w:rtl/>
        </w:rPr>
        <w:t xml:space="preserve">כך קובע </w:t>
      </w:r>
      <w:proofErr w:type="spellStart"/>
      <w:r w:rsidRPr="00AD28BA">
        <w:rPr>
          <w:rFonts w:ascii="Arial" w:hAnsi="Arial" w:cs="Arial"/>
          <w:b/>
          <w:bCs/>
          <w:sz w:val="22"/>
          <w:szCs w:val="22"/>
          <w:rtl/>
        </w:rPr>
        <w:t>השו"ת</w:t>
      </w:r>
      <w:proofErr w:type="spellEnd"/>
      <w:r w:rsidRPr="00AD28BA">
        <w:rPr>
          <w:rFonts w:ascii="Arial" w:hAnsi="Arial" w:cs="Arial"/>
          <w:b/>
          <w:bCs/>
          <w:sz w:val="22"/>
          <w:szCs w:val="22"/>
          <w:rtl/>
        </w:rPr>
        <w:t xml:space="preserve"> הציץ אליעזר-</w:t>
      </w:r>
      <w:r w:rsidRPr="00AD28BA">
        <w:rPr>
          <w:rFonts w:ascii="Arial" w:hAnsi="Arial" w:cs="Arial"/>
          <w:sz w:val="22"/>
          <w:szCs w:val="22"/>
          <w:rtl/>
        </w:rPr>
        <w:t xml:space="preserve"> "כשהנשמה אינה רוצה לצאת כל כך מהר ואין שום דבר </w:t>
      </w:r>
      <w:proofErr w:type="spellStart"/>
      <w:r w:rsidRPr="00AD28BA">
        <w:rPr>
          <w:rFonts w:ascii="Arial" w:hAnsi="Arial" w:cs="Arial"/>
          <w:sz w:val="22"/>
          <w:szCs w:val="22"/>
          <w:rtl/>
        </w:rPr>
        <w:t>המונעה</w:t>
      </w:r>
      <w:proofErr w:type="spellEnd"/>
      <w:r w:rsidRPr="00AD28BA">
        <w:rPr>
          <w:rFonts w:ascii="Arial" w:hAnsi="Arial" w:cs="Arial"/>
          <w:sz w:val="22"/>
          <w:szCs w:val="22"/>
          <w:rtl/>
        </w:rPr>
        <w:t xml:space="preserve"> מלצאת אלא שלא הגיע זמנה אז אין לעשות כל הדברים הללו לקרב מיתתו, אבל כשהנשמה רוצה לצאת אלא שיש דבר </w:t>
      </w:r>
      <w:proofErr w:type="spellStart"/>
      <w:r w:rsidRPr="00AD28BA">
        <w:rPr>
          <w:rFonts w:ascii="Arial" w:hAnsi="Arial" w:cs="Arial"/>
          <w:sz w:val="22"/>
          <w:szCs w:val="22"/>
          <w:rtl/>
        </w:rPr>
        <w:t>המונעה</w:t>
      </w:r>
      <w:proofErr w:type="spellEnd"/>
      <w:r w:rsidRPr="00AD28BA">
        <w:rPr>
          <w:rFonts w:ascii="Arial" w:hAnsi="Arial" w:cs="Arial"/>
          <w:sz w:val="22"/>
          <w:szCs w:val="22"/>
          <w:rtl/>
        </w:rPr>
        <w:t xml:space="preserve"> מלצאת אז מותר להסיר הדבר המונע לנשמה מלצאת, שאין זה מקרב מיתתו, שאם לא היה הדבר ההוא הייתה </w:t>
      </w:r>
      <w:proofErr w:type="spellStart"/>
      <w:r w:rsidRPr="00AD28BA">
        <w:rPr>
          <w:rFonts w:ascii="Arial" w:hAnsi="Arial" w:cs="Arial"/>
          <w:sz w:val="22"/>
          <w:szCs w:val="22"/>
          <w:rtl/>
        </w:rPr>
        <w:t>יוצאת..אין</w:t>
      </w:r>
      <w:proofErr w:type="spellEnd"/>
      <w:r w:rsidRPr="00AD28BA">
        <w:rPr>
          <w:rFonts w:ascii="Arial" w:hAnsi="Arial" w:cs="Arial"/>
          <w:sz w:val="22"/>
          <w:szCs w:val="22"/>
          <w:rtl/>
        </w:rPr>
        <w:t xml:space="preserve"> זה נקרא מקרב מיתתו בהיות שאם לא היה הדבר ההוא הייתה יוצאת ולפי זה מותר גם להסיר מהחולה מכשיר ההנשמה מגופו גם אם הדבר כרוך בעשיה של "קום ועשה" בהיות הנשמה רוצה לצאת אלא שהמכשיר הזה מונע אותה מכך."</w:t>
      </w:r>
    </w:p>
    <w:p w:rsidR="00C42372" w:rsidRPr="00AD28BA" w:rsidRDefault="00C42372" w:rsidP="00C42372">
      <w:pPr>
        <w:spacing w:line="360" w:lineRule="auto"/>
        <w:rPr>
          <w:rFonts w:ascii="Arial" w:hAnsi="Arial" w:cs="Arial"/>
          <w:sz w:val="22"/>
          <w:szCs w:val="22"/>
          <w:rtl/>
        </w:rPr>
      </w:pPr>
    </w:p>
    <w:p w:rsidR="00C42372" w:rsidRPr="00AD28BA" w:rsidRDefault="00C42372" w:rsidP="00C42372">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Arial" w:hAnsi="Arial" w:cs="Arial"/>
          <w:sz w:val="22"/>
          <w:szCs w:val="22"/>
          <w:rtl/>
        </w:rPr>
      </w:pPr>
      <w:r w:rsidRPr="00AD28BA">
        <w:rPr>
          <w:rFonts w:ascii="Arial" w:hAnsi="Arial" w:cs="Arial"/>
          <w:b/>
          <w:bCs/>
          <w:sz w:val="22"/>
          <w:szCs w:val="22"/>
          <w:rtl/>
        </w:rPr>
        <w:t>חוק החולה הנוטה למות, התשס"ו-2005</w:t>
      </w:r>
      <w:r w:rsidRPr="00AD28BA">
        <w:rPr>
          <w:rFonts w:ascii="Arial" w:hAnsi="Arial" w:cs="Arial"/>
          <w:sz w:val="22"/>
          <w:szCs w:val="22"/>
          <w:rtl/>
        </w:rPr>
        <w:t xml:space="preserve"> </w:t>
      </w:r>
    </w:p>
    <w:p w:rsidR="00C42372" w:rsidRPr="00AD28BA" w:rsidRDefault="00C42372" w:rsidP="00C42372">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Arial" w:hAnsi="Arial" w:cs="Arial"/>
          <w:sz w:val="22"/>
          <w:szCs w:val="22"/>
        </w:rPr>
      </w:pPr>
      <w:hyperlink r:id="rId5" w:tooltip="חוק" w:history="1">
        <w:r w:rsidRPr="00AD28BA">
          <w:rPr>
            <w:rStyle w:val="Hyperlink"/>
            <w:rFonts w:ascii="Arial" w:hAnsi="Arial" w:cs="Arial"/>
            <w:sz w:val="22"/>
            <w:szCs w:val="22"/>
            <w:rtl/>
          </w:rPr>
          <w:t>חוק</w:t>
        </w:r>
      </w:hyperlink>
      <w:r w:rsidRPr="00AD28BA">
        <w:rPr>
          <w:rFonts w:ascii="Arial" w:hAnsi="Arial" w:cs="Arial"/>
          <w:sz w:val="22"/>
          <w:szCs w:val="22"/>
          <w:rtl/>
        </w:rPr>
        <w:t xml:space="preserve"> שמטרתו להסדיר את זכויותיו של ה</w:t>
      </w:r>
      <w:hyperlink r:id="rId6" w:tooltip="חולה" w:history="1">
        <w:r w:rsidRPr="00AD28BA">
          <w:rPr>
            <w:rStyle w:val="Hyperlink"/>
            <w:rFonts w:ascii="Arial" w:hAnsi="Arial" w:cs="Arial"/>
            <w:sz w:val="22"/>
            <w:szCs w:val="22"/>
            <w:rtl/>
          </w:rPr>
          <w:t>חולה</w:t>
        </w:r>
      </w:hyperlink>
      <w:r w:rsidRPr="00AD28BA">
        <w:rPr>
          <w:rFonts w:ascii="Arial" w:hAnsi="Arial" w:cs="Arial"/>
          <w:sz w:val="22"/>
          <w:szCs w:val="22"/>
          <w:rtl/>
        </w:rPr>
        <w:t xml:space="preserve"> הנוטה למות ב</w:t>
      </w:r>
      <w:hyperlink r:id="rId7" w:tooltip="ישראל" w:history="1">
        <w:r w:rsidRPr="00AD28BA">
          <w:rPr>
            <w:rStyle w:val="Hyperlink"/>
            <w:rFonts w:ascii="Arial" w:hAnsi="Arial" w:cs="Arial"/>
            <w:sz w:val="22"/>
            <w:szCs w:val="22"/>
            <w:rtl/>
          </w:rPr>
          <w:t>ישראל</w:t>
        </w:r>
      </w:hyperlink>
      <w:r w:rsidRPr="00AD28BA">
        <w:rPr>
          <w:rFonts w:ascii="Arial" w:hAnsi="Arial" w:cs="Arial"/>
          <w:sz w:val="22"/>
          <w:szCs w:val="22"/>
          <w:rtl/>
        </w:rPr>
        <w:t xml:space="preserve">, כולל הזכות לדרוש טיפול רפואי, להימנע מקבלת טיפול רפואי ולהפסיק מתן טיפול רפואי אשר החל. החוק נודע כחוק שהתיר </w:t>
      </w:r>
      <w:hyperlink r:id="rId8" w:tooltip="המתת חסד" w:history="1">
        <w:r w:rsidRPr="00AD28BA">
          <w:rPr>
            <w:rStyle w:val="Hyperlink"/>
            <w:rFonts w:ascii="Arial" w:hAnsi="Arial" w:cs="Arial"/>
            <w:sz w:val="22"/>
            <w:szCs w:val="22"/>
            <w:rtl/>
          </w:rPr>
          <w:t>המתת חסד</w:t>
        </w:r>
      </w:hyperlink>
      <w:r w:rsidRPr="00AD28BA">
        <w:rPr>
          <w:rFonts w:ascii="Arial" w:hAnsi="Arial" w:cs="Arial"/>
          <w:sz w:val="22"/>
          <w:szCs w:val="22"/>
          <w:rtl/>
        </w:rPr>
        <w:t xml:space="preserve"> בישראל.</w:t>
      </w:r>
    </w:p>
    <w:p w:rsidR="00C42372" w:rsidRPr="00AD28BA" w:rsidRDefault="00C42372" w:rsidP="00C42372">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Arial" w:hAnsi="Arial" w:cs="Arial"/>
          <w:sz w:val="22"/>
          <w:szCs w:val="22"/>
          <w:rtl/>
        </w:rPr>
      </w:pPr>
      <w:r w:rsidRPr="00AD28BA">
        <w:rPr>
          <w:rFonts w:ascii="Arial" w:hAnsi="Arial" w:cs="Arial"/>
          <w:sz w:val="22"/>
          <w:szCs w:val="22"/>
          <w:rtl/>
        </w:rPr>
        <w:t xml:space="preserve">אחת ממטרות החוק הינה מתן הגנה משפטית לרופאים שיבצעו </w:t>
      </w:r>
      <w:hyperlink r:id="rId9" w:tooltip="המתה פאסיבית (הדף אינו קיים)" w:history="1">
        <w:r w:rsidRPr="00AD28BA">
          <w:rPr>
            <w:rStyle w:val="Hyperlink"/>
            <w:rFonts w:ascii="Arial" w:hAnsi="Arial" w:cs="Arial"/>
            <w:sz w:val="22"/>
            <w:szCs w:val="22"/>
            <w:rtl/>
          </w:rPr>
          <w:t>המתה פאסיבית</w:t>
        </w:r>
      </w:hyperlink>
      <w:r w:rsidRPr="00AD28BA">
        <w:rPr>
          <w:rFonts w:ascii="Arial" w:hAnsi="Arial" w:cs="Arial"/>
          <w:sz w:val="22"/>
          <w:szCs w:val="22"/>
          <w:rtl/>
        </w:rPr>
        <w:t xml:space="preserve"> בחוליהם, בהתאם לכללים הקבועים בחוק </w:t>
      </w:r>
      <w:hyperlink r:id="rId10" w:tooltip="http://www.health.gov.il/download/forms/a3159_mk07_08.pdf" w:history="1">
        <w:r w:rsidRPr="00AD28BA">
          <w:rPr>
            <w:rStyle w:val="Hyperlink"/>
            <w:rFonts w:ascii="Arial" w:hAnsi="Arial" w:cs="Arial"/>
            <w:sz w:val="22"/>
            <w:szCs w:val="22"/>
            <w:rtl/>
          </w:rPr>
          <w:t>[1]</w:t>
        </w:r>
      </w:hyperlink>
      <w:r w:rsidRPr="00AD28BA">
        <w:rPr>
          <w:rFonts w:ascii="Arial" w:hAnsi="Arial" w:cs="Arial"/>
          <w:sz w:val="22"/>
          <w:szCs w:val="22"/>
          <w:rtl/>
        </w:rPr>
        <w:t>.</w:t>
      </w:r>
    </w:p>
    <w:p w:rsidR="00C42372" w:rsidRPr="00AD28BA" w:rsidRDefault="00C42372" w:rsidP="00C42372">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Arial" w:hAnsi="Arial" w:cs="Arial"/>
          <w:sz w:val="22"/>
          <w:szCs w:val="22"/>
          <w:rtl/>
        </w:rPr>
      </w:pPr>
      <w:r w:rsidRPr="00AD28BA">
        <w:rPr>
          <w:rFonts w:ascii="Arial" w:hAnsi="Arial" w:cs="Arial"/>
          <w:sz w:val="22"/>
          <w:szCs w:val="22"/>
          <w:rtl/>
        </w:rPr>
        <w:t xml:space="preserve">החוק מאפשר לכל אזרח, עוד בעת שהוא </w:t>
      </w:r>
      <w:hyperlink r:id="rId11" w:tooltip="בריאות" w:history="1">
        <w:r w:rsidRPr="00AD28BA">
          <w:rPr>
            <w:rStyle w:val="Hyperlink"/>
            <w:rFonts w:ascii="Arial" w:hAnsi="Arial" w:cs="Arial"/>
            <w:sz w:val="22"/>
            <w:szCs w:val="22"/>
            <w:rtl/>
          </w:rPr>
          <w:t>בריא</w:t>
        </w:r>
      </w:hyperlink>
      <w:r w:rsidRPr="00AD28BA">
        <w:rPr>
          <w:rFonts w:ascii="Arial" w:hAnsi="Arial" w:cs="Arial"/>
          <w:sz w:val="22"/>
          <w:szCs w:val="22"/>
          <w:rtl/>
        </w:rPr>
        <w:t xml:space="preserve">, לקבוע את האופן שבו יטופל במידה ויהיה במצב של חולה נוטה למות אשר אינו מסוגל להביע את רצונו, זאת באמצעות הנחיות מקדימות או מינוי מיופה </w:t>
      </w:r>
      <w:r w:rsidRPr="00AD28BA">
        <w:rPr>
          <w:rFonts w:ascii="Arial" w:hAnsi="Arial" w:cs="Arial"/>
          <w:sz w:val="22"/>
          <w:szCs w:val="22"/>
          <w:rtl/>
        </w:rPr>
        <w:lastRenderedPageBreak/>
        <w:t>כוח. החוק בא לתקן מצב חוקי אשר היה קיים עד לחיקוקו ולפיו זירוז מותו של אדם נוטה למות, בין במעשה ובין במחדל, נכלל בהגדרת "</w:t>
      </w:r>
      <w:hyperlink r:id="rId12" w:tooltip="הריגה" w:history="1">
        <w:r w:rsidRPr="00AD28BA">
          <w:rPr>
            <w:rStyle w:val="Hyperlink"/>
            <w:rFonts w:ascii="Arial" w:hAnsi="Arial" w:cs="Arial"/>
            <w:sz w:val="22"/>
            <w:szCs w:val="22"/>
            <w:rtl/>
          </w:rPr>
          <w:t>הריגה</w:t>
        </w:r>
      </w:hyperlink>
      <w:r w:rsidRPr="00AD28BA">
        <w:rPr>
          <w:rFonts w:ascii="Arial" w:hAnsi="Arial" w:cs="Arial"/>
          <w:sz w:val="22"/>
          <w:szCs w:val="22"/>
          <w:rtl/>
        </w:rPr>
        <w:t xml:space="preserve">" לפי הוראות </w:t>
      </w:r>
      <w:hyperlink r:id="rId13" w:tooltip="חוק העונשין" w:history="1">
        <w:r w:rsidRPr="00AD28BA">
          <w:rPr>
            <w:rStyle w:val="Hyperlink"/>
            <w:rFonts w:ascii="Arial" w:hAnsi="Arial" w:cs="Arial"/>
            <w:sz w:val="22"/>
            <w:szCs w:val="22"/>
            <w:rtl/>
          </w:rPr>
          <w:t>חוק העונשין</w:t>
        </w:r>
      </w:hyperlink>
      <w:r w:rsidRPr="00AD28BA">
        <w:rPr>
          <w:rFonts w:ascii="Arial" w:hAnsi="Arial" w:cs="Arial"/>
          <w:sz w:val="22"/>
          <w:szCs w:val="22"/>
          <w:rtl/>
        </w:rPr>
        <w:t xml:space="preserve"> ועל כן היעתרות לבקשת חולה נוטה למות לחדול מן הטיפול בו ולאפשר את מותו, הצריכה פניה ל</w:t>
      </w:r>
      <w:hyperlink r:id="rId14" w:tooltip="בית משפט" w:history="1">
        <w:r w:rsidRPr="00AD28BA">
          <w:rPr>
            <w:rStyle w:val="Hyperlink"/>
            <w:rFonts w:ascii="Arial" w:hAnsi="Arial" w:cs="Arial"/>
            <w:sz w:val="22"/>
            <w:szCs w:val="22"/>
            <w:rtl/>
          </w:rPr>
          <w:t>בתי המשפט</w:t>
        </w:r>
      </w:hyperlink>
      <w:r w:rsidRPr="00AD28BA">
        <w:rPr>
          <w:rFonts w:ascii="Arial" w:hAnsi="Arial" w:cs="Arial"/>
          <w:sz w:val="22"/>
          <w:szCs w:val="22"/>
          <w:rtl/>
        </w:rPr>
        <w:t>.</w:t>
      </w:r>
    </w:p>
    <w:p w:rsidR="00C42372" w:rsidRPr="00AD28BA" w:rsidRDefault="00C42372" w:rsidP="00C42372">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Arial" w:hAnsi="Arial" w:cs="Arial"/>
          <w:sz w:val="22"/>
          <w:szCs w:val="22"/>
          <w:rtl/>
        </w:rPr>
      </w:pPr>
      <w:r w:rsidRPr="00AD28BA">
        <w:rPr>
          <w:rFonts w:ascii="Arial" w:hAnsi="Arial" w:cs="Arial"/>
          <w:sz w:val="22"/>
          <w:szCs w:val="22"/>
          <w:rtl/>
        </w:rPr>
        <w:t xml:space="preserve">עוד לפני החוק, היו מקרים בהם אישר בית המשפט לחולים הנוטים למות ומשפחותיהם, למנוע הארכת חיים באופן מלאכותי. הצעת החוק נוסחה על ידי ועדה רב-תחומית אשר בין חבריה נימנו אנשי רפואה, דת, משפט ופילוסופיה ובראשה עמד פרופסור </w:t>
      </w:r>
      <w:hyperlink r:id="rId15" w:tooltip="אברהם שטינברג" w:history="1">
        <w:r w:rsidRPr="00AD28BA">
          <w:rPr>
            <w:rStyle w:val="Hyperlink"/>
            <w:rFonts w:ascii="Arial" w:hAnsi="Arial" w:cs="Arial"/>
            <w:sz w:val="22"/>
            <w:szCs w:val="22"/>
            <w:rtl/>
          </w:rPr>
          <w:t>אברהם שטינברג</w:t>
        </w:r>
      </w:hyperlink>
      <w:r w:rsidRPr="00AD28BA">
        <w:rPr>
          <w:rFonts w:ascii="Arial" w:hAnsi="Arial" w:cs="Arial"/>
          <w:sz w:val="22"/>
          <w:szCs w:val="22"/>
          <w:rtl/>
        </w:rPr>
        <w:t>. החוק הובא לאישור הכנסת ב</w:t>
      </w:r>
      <w:hyperlink r:id="rId16" w:tooltip="דצמבר" w:history="1">
        <w:r w:rsidRPr="00AD28BA">
          <w:rPr>
            <w:rStyle w:val="Hyperlink"/>
            <w:rFonts w:ascii="Arial" w:hAnsi="Arial" w:cs="Arial"/>
            <w:sz w:val="22"/>
            <w:szCs w:val="22"/>
            <w:rtl/>
          </w:rPr>
          <w:t>דצמבר</w:t>
        </w:r>
      </w:hyperlink>
      <w:r w:rsidRPr="00AD28BA">
        <w:rPr>
          <w:rFonts w:ascii="Arial" w:hAnsi="Arial" w:cs="Arial"/>
          <w:sz w:val="22"/>
          <w:szCs w:val="22"/>
          <w:rtl/>
        </w:rPr>
        <w:t xml:space="preserve"> </w:t>
      </w:r>
      <w:hyperlink r:id="rId17" w:tooltip="2005" w:history="1">
        <w:r w:rsidRPr="00AD28BA">
          <w:rPr>
            <w:rStyle w:val="Hyperlink"/>
            <w:rFonts w:ascii="Arial" w:hAnsi="Arial" w:cs="Arial"/>
            <w:sz w:val="22"/>
            <w:szCs w:val="22"/>
            <w:rtl/>
          </w:rPr>
          <w:t>2005</w:t>
        </w:r>
      </w:hyperlink>
      <w:r w:rsidRPr="00AD28BA">
        <w:rPr>
          <w:rFonts w:ascii="Arial" w:hAnsi="Arial" w:cs="Arial"/>
          <w:sz w:val="22"/>
          <w:szCs w:val="22"/>
          <w:rtl/>
        </w:rPr>
        <w:t>.</w:t>
      </w:r>
    </w:p>
    <w:p w:rsidR="00C42372" w:rsidRPr="00AD28BA" w:rsidRDefault="00C42372" w:rsidP="00C42372">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Arial" w:hAnsi="Arial" w:cs="Arial"/>
          <w:sz w:val="22"/>
          <w:szCs w:val="22"/>
          <w:rtl/>
        </w:rPr>
      </w:pPr>
      <w:r w:rsidRPr="00AD28BA">
        <w:rPr>
          <w:rFonts w:ascii="Arial" w:hAnsi="Arial" w:cs="Arial"/>
          <w:sz w:val="22"/>
          <w:szCs w:val="22"/>
          <w:rtl/>
        </w:rPr>
        <w:t>החוק מאפשר ל</w:t>
      </w:r>
      <w:hyperlink r:id="rId18" w:tooltip="רופא" w:history="1">
        <w:r w:rsidRPr="00AD28BA">
          <w:rPr>
            <w:rStyle w:val="Hyperlink"/>
            <w:rFonts w:ascii="Arial" w:hAnsi="Arial" w:cs="Arial"/>
            <w:sz w:val="22"/>
            <w:szCs w:val="22"/>
            <w:rtl/>
          </w:rPr>
          <w:t>רופא</w:t>
        </w:r>
      </w:hyperlink>
      <w:r w:rsidRPr="00AD28BA">
        <w:rPr>
          <w:rFonts w:ascii="Arial" w:hAnsi="Arial" w:cs="Arial"/>
          <w:sz w:val="22"/>
          <w:szCs w:val="22"/>
          <w:rtl/>
        </w:rPr>
        <w:t xml:space="preserve"> או ל</w:t>
      </w:r>
      <w:hyperlink r:id="rId19" w:tooltip="אפוטרופוס" w:history="1">
        <w:r w:rsidRPr="00AD28BA">
          <w:rPr>
            <w:rStyle w:val="Hyperlink"/>
            <w:rFonts w:ascii="Arial" w:hAnsi="Arial" w:cs="Arial"/>
            <w:sz w:val="22"/>
            <w:szCs w:val="22"/>
            <w:rtl/>
          </w:rPr>
          <w:t>אפוטרופוס</w:t>
        </w:r>
      </w:hyperlink>
      <w:r w:rsidRPr="00AD28BA">
        <w:rPr>
          <w:rFonts w:ascii="Arial" w:hAnsi="Arial" w:cs="Arial"/>
          <w:sz w:val="22"/>
          <w:szCs w:val="22"/>
          <w:rtl/>
        </w:rPr>
        <w:t xml:space="preserve"> של החולה לבצע המתה פאסיבית של "חסויים" (הסובלים זה זמן רב ממוגבלות שכלית או נפשית כך ש"באופן קבוע אינם יכולים לדאוג לענייניהם", ולא הותירו אחריהם הנחיות באשר לדרך הטיפול בהם) אף אם הללו מביעים את התנגדותם לכך, בכפוף לאישורה של ועדה פנימית שימנה המוסד הרפואי בו החולה מאושפז, ושתורכב מ-4 רופאים, אחות, עובד סוציאלי או </w:t>
      </w:r>
      <w:hyperlink r:id="rId20" w:tooltip="פסיכולוג" w:history="1">
        <w:r w:rsidRPr="00AD28BA">
          <w:rPr>
            <w:rStyle w:val="Hyperlink"/>
            <w:rFonts w:ascii="Arial" w:hAnsi="Arial" w:cs="Arial"/>
            <w:sz w:val="22"/>
            <w:szCs w:val="22"/>
            <w:rtl/>
          </w:rPr>
          <w:t>פסיכולוג</w:t>
        </w:r>
      </w:hyperlink>
      <w:r w:rsidRPr="00AD28BA">
        <w:rPr>
          <w:rFonts w:ascii="Arial" w:hAnsi="Arial" w:cs="Arial"/>
          <w:sz w:val="22"/>
          <w:szCs w:val="22"/>
          <w:rtl/>
        </w:rPr>
        <w:t xml:space="preserve">, </w:t>
      </w:r>
      <w:hyperlink r:id="rId21" w:tooltip="פילוסוף" w:history="1">
        <w:r w:rsidRPr="00AD28BA">
          <w:rPr>
            <w:rStyle w:val="Hyperlink"/>
            <w:rFonts w:ascii="Arial" w:hAnsi="Arial" w:cs="Arial"/>
            <w:sz w:val="22"/>
            <w:szCs w:val="22"/>
            <w:rtl/>
          </w:rPr>
          <w:t>פילוסוף</w:t>
        </w:r>
      </w:hyperlink>
      <w:r w:rsidRPr="00AD28BA">
        <w:rPr>
          <w:rFonts w:ascii="Arial" w:hAnsi="Arial" w:cs="Arial"/>
          <w:sz w:val="22"/>
          <w:szCs w:val="22"/>
          <w:rtl/>
        </w:rPr>
        <w:t xml:space="preserve"> או </w:t>
      </w:r>
      <w:proofErr w:type="spellStart"/>
      <w:r w:rsidRPr="00AD28BA">
        <w:rPr>
          <w:rFonts w:ascii="Arial" w:hAnsi="Arial" w:cs="Arial"/>
          <w:sz w:val="22"/>
          <w:szCs w:val="22"/>
          <w:rtl/>
        </w:rPr>
        <w:t>אתיקן</w:t>
      </w:r>
      <w:proofErr w:type="spellEnd"/>
      <w:r w:rsidRPr="00AD28BA">
        <w:rPr>
          <w:rFonts w:ascii="Arial" w:hAnsi="Arial" w:cs="Arial"/>
          <w:sz w:val="22"/>
          <w:szCs w:val="22"/>
          <w:rtl/>
        </w:rPr>
        <w:t xml:space="preserve">, </w:t>
      </w:r>
      <w:hyperlink r:id="rId22" w:tooltip="משפטן" w:history="1">
        <w:r w:rsidRPr="00AD28BA">
          <w:rPr>
            <w:rStyle w:val="Hyperlink"/>
            <w:rFonts w:ascii="Arial" w:hAnsi="Arial" w:cs="Arial"/>
            <w:sz w:val="22"/>
            <w:szCs w:val="22"/>
            <w:rtl/>
          </w:rPr>
          <w:t>משפטן</w:t>
        </w:r>
      </w:hyperlink>
      <w:r w:rsidRPr="00AD28BA">
        <w:rPr>
          <w:rFonts w:ascii="Arial" w:hAnsi="Arial" w:cs="Arial"/>
          <w:sz w:val="22"/>
          <w:szCs w:val="22"/>
          <w:rtl/>
        </w:rPr>
        <w:t xml:space="preserve"> ואיש דת בהתאם לדתו של החולה. על החלטות הוועדות הללו ניתן יהיה לערער בפני "ועדה ארצית" שימנה מנכ"ל </w:t>
      </w:r>
      <w:hyperlink r:id="rId23" w:tooltip="משרד הבריאות" w:history="1">
        <w:r w:rsidRPr="00AD28BA">
          <w:rPr>
            <w:rStyle w:val="Hyperlink"/>
            <w:rFonts w:ascii="Arial" w:hAnsi="Arial" w:cs="Arial"/>
            <w:sz w:val="22"/>
            <w:szCs w:val="22"/>
            <w:rtl/>
          </w:rPr>
          <w:t>משרד הבריאות</w:t>
        </w:r>
      </w:hyperlink>
      <w:r w:rsidRPr="00AD28BA">
        <w:rPr>
          <w:rFonts w:ascii="Arial" w:hAnsi="Arial" w:cs="Arial"/>
          <w:sz w:val="22"/>
          <w:szCs w:val="22"/>
          <w:rtl/>
        </w:rPr>
        <w:t xml:space="preserve">, ועל החלטות זו ניתן יהיה לערער בפני </w:t>
      </w:r>
      <w:hyperlink r:id="rId24" w:tooltip="בג&quot;ץ" w:history="1">
        <w:r w:rsidRPr="00AD28BA">
          <w:rPr>
            <w:rStyle w:val="Hyperlink"/>
            <w:rFonts w:ascii="Arial" w:hAnsi="Arial" w:cs="Arial"/>
            <w:sz w:val="22"/>
            <w:szCs w:val="22"/>
            <w:rtl/>
          </w:rPr>
          <w:t>בג"ץ</w:t>
        </w:r>
      </w:hyperlink>
      <w:r w:rsidRPr="00AD28BA">
        <w:rPr>
          <w:rFonts w:ascii="Arial" w:hAnsi="Arial" w:cs="Arial"/>
          <w:sz w:val="22"/>
          <w:szCs w:val="22"/>
          <w:rtl/>
        </w:rPr>
        <w:t xml:space="preserve"> </w:t>
      </w:r>
      <w:hyperlink r:id="rId25" w:tooltip="http://www.health.gov.il/Download/pages/16914107.pdf" w:history="1">
        <w:r w:rsidRPr="00AD28BA">
          <w:rPr>
            <w:rStyle w:val="Hyperlink"/>
            <w:rFonts w:ascii="Arial" w:hAnsi="Arial" w:cs="Arial"/>
            <w:sz w:val="22"/>
            <w:szCs w:val="22"/>
            <w:rtl/>
          </w:rPr>
          <w:t>[2]</w:t>
        </w:r>
      </w:hyperlink>
      <w:r w:rsidRPr="00AD28BA">
        <w:rPr>
          <w:rFonts w:ascii="Arial" w:hAnsi="Arial" w:cs="Arial"/>
          <w:sz w:val="22"/>
          <w:szCs w:val="22"/>
          <w:rtl/>
        </w:rPr>
        <w:t>.</w:t>
      </w:r>
    </w:p>
    <w:p w:rsidR="00C42372" w:rsidRPr="00AD28BA" w:rsidRDefault="00C42372" w:rsidP="00C42372">
      <w:pPr>
        <w:pStyle w:val="NormalWeb"/>
        <w:pBdr>
          <w:top w:val="single" w:sz="4" w:space="1" w:color="auto"/>
          <w:left w:val="single" w:sz="4" w:space="4" w:color="auto"/>
          <w:bottom w:val="single" w:sz="4" w:space="1" w:color="auto"/>
          <w:right w:val="single" w:sz="4" w:space="4" w:color="auto"/>
        </w:pBdr>
        <w:bidi/>
        <w:spacing w:before="0" w:beforeAutospacing="0" w:after="0" w:afterAutospacing="0" w:line="360" w:lineRule="auto"/>
        <w:rPr>
          <w:rFonts w:ascii="Arial" w:hAnsi="Arial" w:cs="Arial"/>
          <w:sz w:val="22"/>
          <w:szCs w:val="22"/>
          <w:rtl/>
        </w:rPr>
      </w:pPr>
      <w:r w:rsidRPr="00AD28BA">
        <w:rPr>
          <w:rFonts w:ascii="Arial" w:hAnsi="Arial" w:cs="Arial"/>
          <w:sz w:val="22"/>
          <w:szCs w:val="22"/>
          <w:rtl/>
        </w:rPr>
        <w:t xml:space="preserve">כמו כן, החוק מאפשר לרופא לקבוע (בכפוף להיוועצות במומחים) כי חולה נמצא בשלב סופני בו נותרו לו פחות משבועיים לחיות. לאחר קביעה זו רשאי הרופא, במקרה של מצב חירום רפואי המצריך טיפול דחוף דוגמת ניתוח, שלא לטפל בחולה ולהניח לו למות, אלא אם ידוע לו כי החולה מבקש להאריך את חייו </w:t>
      </w:r>
      <w:hyperlink r:id="rId26" w:tooltip="http://www.health.gov.il/download/forms/a3159_mk07_08.pdf" w:history="1">
        <w:r w:rsidRPr="00AD28BA">
          <w:rPr>
            <w:rStyle w:val="Hyperlink"/>
            <w:rFonts w:ascii="Arial" w:hAnsi="Arial" w:cs="Arial"/>
            <w:sz w:val="22"/>
            <w:szCs w:val="22"/>
            <w:rtl/>
          </w:rPr>
          <w:t>[3]</w:t>
        </w:r>
      </w:hyperlink>
      <w:r w:rsidRPr="00AD28BA">
        <w:rPr>
          <w:rFonts w:ascii="Arial" w:hAnsi="Arial" w:cs="Arial"/>
          <w:sz w:val="22"/>
          <w:szCs w:val="22"/>
          <w:rtl/>
        </w:rPr>
        <w:t>.</w:t>
      </w:r>
    </w:p>
    <w:p w:rsidR="00C42372" w:rsidRPr="00AD28BA" w:rsidRDefault="00C42372" w:rsidP="00C42372">
      <w:pPr>
        <w:spacing w:line="360" w:lineRule="auto"/>
        <w:rPr>
          <w:rFonts w:ascii="Arial" w:hAnsi="Arial" w:cs="Arial"/>
          <w:sz w:val="22"/>
          <w:szCs w:val="22"/>
          <w:rtl/>
        </w:rPr>
      </w:pPr>
    </w:p>
    <w:p w:rsidR="00C42372" w:rsidRPr="00AD28BA" w:rsidRDefault="00C42372" w:rsidP="00C42372">
      <w:pPr>
        <w:spacing w:line="360" w:lineRule="auto"/>
        <w:jc w:val="center"/>
        <w:rPr>
          <w:rFonts w:ascii="Arial" w:hAnsi="Arial" w:cs="Arial"/>
          <w:b/>
          <w:bCs/>
          <w:sz w:val="22"/>
          <w:szCs w:val="22"/>
          <w:u w:val="single"/>
          <w:rtl/>
        </w:rPr>
      </w:pPr>
    </w:p>
    <w:p w:rsidR="00380701" w:rsidRDefault="00380701">
      <w:pPr>
        <w:rPr>
          <w:rFonts w:hint="cs"/>
          <w:rtl/>
        </w:rPr>
      </w:pPr>
      <w:bookmarkStart w:id="0" w:name="_GoBack"/>
      <w:bookmarkEnd w:id="0"/>
    </w:p>
    <w:sectPr w:rsidR="00380701" w:rsidSect="008D70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72"/>
    <w:rsid w:val="00380701"/>
    <w:rsid w:val="008D7022"/>
    <w:rsid w:val="00C42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7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C42372"/>
    <w:rPr>
      <w:color w:val="0000FF"/>
      <w:u w:val="single"/>
    </w:rPr>
  </w:style>
  <w:style w:type="paragraph" w:styleId="NormalWeb">
    <w:name w:val="Normal (Web)"/>
    <w:basedOn w:val="a"/>
    <w:rsid w:val="00C42372"/>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7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C42372"/>
    <w:rPr>
      <w:color w:val="0000FF"/>
      <w:u w:val="single"/>
    </w:rPr>
  </w:style>
  <w:style w:type="paragraph" w:styleId="NormalWeb">
    <w:name w:val="Normal (Web)"/>
    <w:basedOn w:val="a"/>
    <w:rsid w:val="00C42372"/>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94%D7%9E%D7%AA%D7%AA_%D7%97%D7%A1%D7%93" TargetMode="External"/><Relationship Id="rId13" Type="http://schemas.openxmlformats.org/officeDocument/2006/relationships/hyperlink" Target="http://he.wikipedia.org/wiki/%D7%97%D7%95%D7%A7_%D7%94%D7%A2%D7%95%D7%A0%D7%A9%D7%99%D7%9F" TargetMode="External"/><Relationship Id="rId18" Type="http://schemas.openxmlformats.org/officeDocument/2006/relationships/hyperlink" Target="http://he.wikipedia.org/wiki/%D7%A8%D7%95%D7%A4%D7%90" TargetMode="External"/><Relationship Id="rId26" Type="http://schemas.openxmlformats.org/officeDocument/2006/relationships/hyperlink" Target="http://www.health.gov.il/download/forms/a3159_mk07_08.pdf" TargetMode="External"/><Relationship Id="rId3" Type="http://schemas.openxmlformats.org/officeDocument/2006/relationships/settings" Target="settings.xml"/><Relationship Id="rId21" Type="http://schemas.openxmlformats.org/officeDocument/2006/relationships/hyperlink" Target="http://he.wikipedia.org/wiki/%D7%A4%D7%99%D7%9C%D7%95%D7%A1%D7%95%D7%A3" TargetMode="External"/><Relationship Id="rId7" Type="http://schemas.openxmlformats.org/officeDocument/2006/relationships/hyperlink" Target="http://he.wikipedia.org/wiki/%D7%99%D7%A9%D7%A8%D7%90%D7%9C" TargetMode="External"/><Relationship Id="rId12" Type="http://schemas.openxmlformats.org/officeDocument/2006/relationships/hyperlink" Target="http://he.wikipedia.org/wiki/%D7%94%D7%A8%D7%99%D7%92%D7%94" TargetMode="External"/><Relationship Id="rId17" Type="http://schemas.openxmlformats.org/officeDocument/2006/relationships/hyperlink" Target="http://he.wikipedia.org/wiki/2005" TargetMode="External"/><Relationship Id="rId25" Type="http://schemas.openxmlformats.org/officeDocument/2006/relationships/hyperlink" Target="http://www.health.gov.il/Download/pages/16914107.pdf" TargetMode="External"/><Relationship Id="rId2" Type="http://schemas.microsoft.com/office/2007/relationships/stylesWithEffects" Target="stylesWithEffects.xml"/><Relationship Id="rId16" Type="http://schemas.openxmlformats.org/officeDocument/2006/relationships/hyperlink" Target="http://he.wikipedia.org/wiki/%D7%93%D7%A6%D7%9E%D7%91%D7%A8" TargetMode="External"/><Relationship Id="rId20" Type="http://schemas.openxmlformats.org/officeDocument/2006/relationships/hyperlink" Target="http://he.wikipedia.org/wiki/%D7%A4%D7%A1%D7%99%D7%9B%D7%95%D7%9C%D7%95%D7%92" TargetMode="External"/><Relationship Id="rId1" Type="http://schemas.openxmlformats.org/officeDocument/2006/relationships/styles" Target="styles.xml"/><Relationship Id="rId6" Type="http://schemas.openxmlformats.org/officeDocument/2006/relationships/hyperlink" Target="http://he.wikipedia.org/wiki/%D7%97%D7%95%D7%9C%D7%94" TargetMode="External"/><Relationship Id="rId11" Type="http://schemas.openxmlformats.org/officeDocument/2006/relationships/hyperlink" Target="http://he.wikipedia.org/wiki/%D7%91%D7%A8%D7%99%D7%90%D7%95%D7%AA" TargetMode="External"/><Relationship Id="rId24" Type="http://schemas.openxmlformats.org/officeDocument/2006/relationships/hyperlink" Target="http://he.wikipedia.org/wiki/%D7%91%D7%92%22%D7%A5" TargetMode="External"/><Relationship Id="rId5" Type="http://schemas.openxmlformats.org/officeDocument/2006/relationships/hyperlink" Target="http://he.wikipedia.org/wiki/%D7%97%D7%95%D7%A7" TargetMode="External"/><Relationship Id="rId15" Type="http://schemas.openxmlformats.org/officeDocument/2006/relationships/hyperlink" Target="http://he.wikipedia.org/wiki/%D7%90%D7%91%D7%A8%D7%94%D7%9D_%D7%A9%D7%98%D7%99%D7%A0%D7%91%D7%A8%D7%92" TargetMode="External"/><Relationship Id="rId23" Type="http://schemas.openxmlformats.org/officeDocument/2006/relationships/hyperlink" Target="http://he.wikipedia.org/wiki/%D7%9E%D7%A9%D7%A8%D7%93_%D7%94%D7%91%D7%A8%D7%99%D7%90%D7%95%D7%AA" TargetMode="External"/><Relationship Id="rId28" Type="http://schemas.openxmlformats.org/officeDocument/2006/relationships/theme" Target="theme/theme1.xml"/><Relationship Id="rId10" Type="http://schemas.openxmlformats.org/officeDocument/2006/relationships/hyperlink" Target="http://www.health.gov.il/download/forms/a3159_mk07_08.pdf" TargetMode="External"/><Relationship Id="rId19" Type="http://schemas.openxmlformats.org/officeDocument/2006/relationships/hyperlink" Target="http://he.wikipedia.org/wiki/%D7%90%D7%A4%D7%95%D7%98%D7%A8%D7%95%D7%A4%D7%95%D7%A1" TargetMode="External"/><Relationship Id="rId4" Type="http://schemas.openxmlformats.org/officeDocument/2006/relationships/webSettings" Target="webSettings.xml"/><Relationship Id="rId9" Type="http://schemas.openxmlformats.org/officeDocument/2006/relationships/hyperlink" Target="http://he.wikipedia.org/w/index.php?title=%D7%94%D7%9E%D7%AA%D7%94_%D7%A4%D7%90%D7%A1%D7%99%D7%91%D7%99%D7%AA&amp;action=edit&amp;redlink=1" TargetMode="External"/><Relationship Id="rId14" Type="http://schemas.openxmlformats.org/officeDocument/2006/relationships/hyperlink" Target="http://he.wikipedia.org/wiki/%D7%91%D7%99%D7%AA_%D7%9E%D7%A9%D7%A4%D7%98" TargetMode="External"/><Relationship Id="rId22" Type="http://schemas.openxmlformats.org/officeDocument/2006/relationships/hyperlink" Target="http://he.wikipedia.org/wiki/%D7%9E%D7%A9%D7%A4%D7%98%D7%9F" TargetMode="External"/><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4844</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2013-04-01T11:09:00Z</dcterms:created>
  <dcterms:modified xsi:type="dcterms:W3CDTF">2013-04-01T11:10:00Z</dcterms:modified>
</cp:coreProperties>
</file>