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2B4" w:rsidRDefault="00C572B4" w:rsidP="00C572B4">
      <w:pPr>
        <w:jc w:val="center"/>
        <w:rPr>
          <w:rFonts w:cs="David" w:hint="cs"/>
          <w:rtl/>
        </w:rPr>
      </w:pPr>
      <w:bookmarkStart w:id="0" w:name="_GoBack"/>
      <w:r>
        <w:rPr>
          <w:rFonts w:hint="cs"/>
          <w:rtl/>
        </w:rPr>
        <w:t>השלם הטבלה:</w:t>
      </w:r>
    </w:p>
    <w:tbl>
      <w:tblPr>
        <w:bidiVisual/>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1252"/>
        <w:gridCol w:w="1252"/>
        <w:gridCol w:w="1873"/>
        <w:gridCol w:w="4503"/>
      </w:tblGrid>
      <w:tr w:rsidR="00C572B4" w:rsidRPr="004E29D4" w:rsidTr="004E6366">
        <w:tc>
          <w:tcPr>
            <w:tcW w:w="958" w:type="dxa"/>
            <w:tcBorders>
              <w:top w:val="single" w:sz="4" w:space="0" w:color="auto"/>
              <w:left w:val="single" w:sz="4" w:space="0" w:color="auto"/>
              <w:bottom w:val="single" w:sz="4" w:space="0" w:color="auto"/>
              <w:right w:val="single" w:sz="4" w:space="0" w:color="auto"/>
            </w:tcBorders>
            <w:shd w:val="clear" w:color="auto" w:fill="auto"/>
          </w:tcPr>
          <w:bookmarkEnd w:id="0"/>
          <w:p w:rsidR="00C572B4" w:rsidRPr="004E29D4" w:rsidRDefault="00C572B4" w:rsidP="00C572B4">
            <w:pPr>
              <w:rPr>
                <w:rFonts w:cs="David"/>
                <w:b/>
                <w:bCs/>
                <w:i/>
                <w:iCs/>
              </w:rPr>
            </w:pPr>
            <w:r w:rsidRPr="004E29D4">
              <w:rPr>
                <w:rFonts w:cs="Miriam" w:hint="cs"/>
                <w:b/>
                <w:bCs/>
                <w:i/>
                <w:iCs/>
                <w:rtl/>
              </w:rPr>
              <w:t>כתבה</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C572B4" w:rsidRPr="004E29D4" w:rsidRDefault="00C572B4" w:rsidP="00C572B4">
            <w:pPr>
              <w:rPr>
                <w:rFonts w:cs="David"/>
                <w:b/>
                <w:bCs/>
                <w:i/>
                <w:iCs/>
              </w:rPr>
            </w:pPr>
            <w:r w:rsidRPr="004E29D4">
              <w:rPr>
                <w:rFonts w:cs="Miriam" w:hint="cs"/>
                <w:b/>
                <w:bCs/>
                <w:i/>
                <w:iCs/>
                <w:rtl/>
              </w:rPr>
              <w:t>התובע</w:t>
            </w:r>
          </w:p>
        </w:tc>
        <w:tc>
          <w:tcPr>
            <w:tcW w:w="1256" w:type="dxa"/>
            <w:tcBorders>
              <w:top w:val="single" w:sz="4" w:space="0" w:color="auto"/>
              <w:left w:val="single" w:sz="4" w:space="0" w:color="auto"/>
              <w:bottom w:val="single" w:sz="4" w:space="0" w:color="auto"/>
              <w:right w:val="single" w:sz="4" w:space="0" w:color="auto"/>
            </w:tcBorders>
            <w:shd w:val="clear" w:color="auto" w:fill="auto"/>
          </w:tcPr>
          <w:p w:rsidR="00C572B4" w:rsidRPr="004E29D4" w:rsidRDefault="00C572B4" w:rsidP="00C572B4">
            <w:pPr>
              <w:rPr>
                <w:rFonts w:cs="David"/>
                <w:b/>
                <w:bCs/>
                <w:i/>
                <w:iCs/>
              </w:rPr>
            </w:pPr>
            <w:r w:rsidRPr="004E29D4">
              <w:rPr>
                <w:rFonts w:cs="Miriam" w:hint="cs"/>
                <w:b/>
                <w:bCs/>
                <w:i/>
                <w:iCs/>
                <w:rtl/>
              </w:rPr>
              <w:t>הנתבע</w:t>
            </w:r>
          </w:p>
        </w:tc>
        <w:tc>
          <w:tcPr>
            <w:tcW w:w="1882" w:type="dxa"/>
            <w:tcBorders>
              <w:top w:val="single" w:sz="4" w:space="0" w:color="auto"/>
              <w:left w:val="single" w:sz="4" w:space="0" w:color="auto"/>
              <w:bottom w:val="single" w:sz="4" w:space="0" w:color="auto"/>
              <w:right w:val="single" w:sz="4" w:space="0" w:color="auto"/>
            </w:tcBorders>
            <w:shd w:val="clear" w:color="auto" w:fill="auto"/>
          </w:tcPr>
          <w:p w:rsidR="00C572B4" w:rsidRPr="004E29D4" w:rsidRDefault="00C572B4" w:rsidP="00C572B4">
            <w:pPr>
              <w:rPr>
                <w:rFonts w:cs="David"/>
                <w:b/>
                <w:bCs/>
                <w:i/>
                <w:iCs/>
              </w:rPr>
            </w:pPr>
            <w:r w:rsidRPr="004E29D4">
              <w:rPr>
                <w:rFonts w:cs="Miriam" w:hint="cs"/>
                <w:b/>
                <w:bCs/>
                <w:i/>
                <w:iCs/>
                <w:rtl/>
              </w:rPr>
              <w:t>סוג התביעה</w:t>
            </w:r>
          </w:p>
        </w:tc>
        <w:tc>
          <w:tcPr>
            <w:tcW w:w="4537" w:type="dxa"/>
            <w:tcBorders>
              <w:top w:val="single" w:sz="4" w:space="0" w:color="auto"/>
              <w:left w:val="single" w:sz="4" w:space="0" w:color="auto"/>
              <w:bottom w:val="single" w:sz="4" w:space="0" w:color="auto"/>
              <w:right w:val="single" w:sz="4" w:space="0" w:color="auto"/>
            </w:tcBorders>
            <w:shd w:val="clear" w:color="auto" w:fill="auto"/>
          </w:tcPr>
          <w:p w:rsidR="00C572B4" w:rsidRPr="004E29D4" w:rsidRDefault="00C572B4" w:rsidP="00C572B4">
            <w:pPr>
              <w:rPr>
                <w:rFonts w:cs="David"/>
                <w:b/>
                <w:bCs/>
                <w:i/>
                <w:iCs/>
              </w:rPr>
            </w:pPr>
            <w:r w:rsidRPr="004E29D4">
              <w:rPr>
                <w:rFonts w:cs="Miriam" w:hint="cs"/>
                <w:b/>
                <w:bCs/>
                <w:i/>
                <w:iCs/>
                <w:rtl/>
              </w:rPr>
              <w:t>מונחים פליליים / אזרחיים בכתבה</w:t>
            </w:r>
          </w:p>
        </w:tc>
      </w:tr>
      <w:tr w:rsidR="00C572B4" w:rsidRPr="004E29D4" w:rsidTr="004E6366">
        <w:trPr>
          <w:trHeight w:val="511"/>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rsidR="00C572B4" w:rsidRPr="004E29D4" w:rsidRDefault="00C572B4" w:rsidP="00C572B4">
            <w:pPr>
              <w:rPr>
                <w:rFonts w:cs="David"/>
              </w:rPr>
            </w:pPr>
            <w:r w:rsidRPr="004E29D4">
              <w:rPr>
                <w:rFonts w:cs="Miriam" w:hint="cs"/>
                <w:rtl/>
              </w:rPr>
              <w:t xml:space="preserve">שוד </w:t>
            </w:r>
            <w:proofErr w:type="spellStart"/>
            <w:r w:rsidRPr="004E29D4">
              <w:rPr>
                <w:rFonts w:cs="Miriam" w:hint="cs"/>
                <w:rtl/>
              </w:rPr>
              <w:t>הברינקס</w:t>
            </w:r>
            <w:proofErr w:type="spellEnd"/>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C572B4" w:rsidRPr="004E29D4" w:rsidRDefault="00C572B4" w:rsidP="00C572B4">
            <w:pPr>
              <w:rPr>
                <w:rFonts w:cs="David"/>
              </w:rPr>
            </w:pP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C572B4" w:rsidRPr="004E29D4" w:rsidRDefault="00C572B4" w:rsidP="00C572B4">
            <w:pPr>
              <w:rPr>
                <w:rFonts w:cs="David"/>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C572B4" w:rsidRPr="004E29D4" w:rsidRDefault="00C572B4" w:rsidP="00C572B4">
            <w:pPr>
              <w:rPr>
                <w:rFonts w:cs="David"/>
              </w:rPr>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C572B4" w:rsidRPr="004E29D4" w:rsidRDefault="00C572B4" w:rsidP="00C572B4">
            <w:pPr>
              <w:rPr>
                <w:rFonts w:cs="David"/>
              </w:rPr>
            </w:pPr>
          </w:p>
        </w:tc>
      </w:tr>
      <w:tr w:rsidR="00C572B4" w:rsidRPr="004E29D4" w:rsidTr="004E6366">
        <w:trPr>
          <w:trHeight w:val="560"/>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rsidR="00C572B4" w:rsidRPr="004E29D4" w:rsidRDefault="00C572B4" w:rsidP="00C572B4">
            <w:pPr>
              <w:rPr>
                <w:rFonts w:cs="David"/>
              </w:rPr>
            </w:pPr>
            <w:r w:rsidRPr="004E29D4">
              <w:rPr>
                <w:rFonts w:cs="Miriam" w:hint="cs"/>
                <w:rtl/>
              </w:rPr>
              <w:t>מורה ותלמיד</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C572B4" w:rsidRPr="004E29D4" w:rsidRDefault="00C572B4" w:rsidP="00C572B4">
            <w:pPr>
              <w:rPr>
                <w:rFonts w:cs="David"/>
              </w:rPr>
            </w:pP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C572B4" w:rsidRPr="004E29D4" w:rsidRDefault="00C572B4" w:rsidP="00C572B4">
            <w:pPr>
              <w:rPr>
                <w:rFonts w:cs="David"/>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C572B4" w:rsidRPr="004E29D4" w:rsidRDefault="00C572B4" w:rsidP="00C572B4">
            <w:pPr>
              <w:rPr>
                <w:rFonts w:cs="David"/>
              </w:rPr>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C572B4" w:rsidRPr="004E29D4" w:rsidRDefault="00C572B4" w:rsidP="00C572B4">
            <w:pPr>
              <w:rPr>
                <w:rFonts w:cs="David"/>
              </w:rPr>
            </w:pPr>
          </w:p>
        </w:tc>
      </w:tr>
      <w:tr w:rsidR="00C572B4" w:rsidRPr="004E29D4" w:rsidTr="004E6366">
        <w:trPr>
          <w:trHeight w:val="338"/>
        </w:trPr>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rsidR="00C572B4" w:rsidRPr="004E29D4" w:rsidRDefault="00C572B4" w:rsidP="00C572B4">
            <w:pPr>
              <w:rPr>
                <w:rFonts w:cs="David"/>
              </w:rPr>
            </w:pPr>
            <w:r w:rsidRPr="004E29D4">
              <w:rPr>
                <w:rFonts w:cs="Miriam" w:hint="cs"/>
                <w:rtl/>
              </w:rPr>
              <w:t>דקירה בלוד</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C572B4" w:rsidRPr="004E29D4" w:rsidRDefault="00C572B4" w:rsidP="00C572B4">
            <w:pPr>
              <w:rPr>
                <w:rFonts w:cs="David"/>
              </w:rPr>
            </w:pP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C572B4" w:rsidRPr="004E29D4" w:rsidRDefault="00C572B4" w:rsidP="00C572B4">
            <w:pPr>
              <w:rPr>
                <w:rFonts w:cs="David"/>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C572B4" w:rsidRPr="004E29D4" w:rsidRDefault="00C572B4" w:rsidP="00C572B4">
            <w:pPr>
              <w:rPr>
                <w:rFonts w:cs="David"/>
              </w:rPr>
            </w:pP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C572B4" w:rsidRPr="004E29D4" w:rsidRDefault="00C572B4" w:rsidP="00C572B4">
            <w:pPr>
              <w:rPr>
                <w:rFonts w:cs="David"/>
              </w:rPr>
            </w:pPr>
          </w:p>
        </w:tc>
      </w:tr>
    </w:tbl>
    <w:p w:rsidR="00C572B4" w:rsidRDefault="00C572B4" w:rsidP="00C572B4">
      <w:pPr>
        <w:rPr>
          <w:rFonts w:cs="David" w:hint="cs"/>
          <w:sz w:val="22"/>
          <w:szCs w:val="22"/>
          <w:rtl/>
        </w:rPr>
      </w:pPr>
    </w:p>
    <w:p w:rsidR="00C572B4" w:rsidRDefault="00C572B4" w:rsidP="00C572B4">
      <w:pPr>
        <w:rPr>
          <w:rFonts w:hint="cs"/>
          <w:b/>
          <w:bCs/>
          <w:sz w:val="50"/>
          <w:szCs w:val="50"/>
          <w:rtl/>
        </w:rPr>
      </w:pPr>
      <w:r>
        <w:rPr>
          <w:rFonts w:hint="cs"/>
          <w:b/>
          <w:bCs/>
          <w:sz w:val="50"/>
          <w:szCs w:val="50"/>
          <w:rtl/>
        </w:rPr>
        <w:t xml:space="preserve">מבוכה בפרקליטת – הופחת עונשו של שודד </w:t>
      </w:r>
      <w:proofErr w:type="spellStart"/>
      <w:r>
        <w:rPr>
          <w:rFonts w:hint="cs"/>
          <w:b/>
          <w:bCs/>
          <w:sz w:val="50"/>
          <w:szCs w:val="50"/>
          <w:rtl/>
        </w:rPr>
        <w:t>הברינקס</w:t>
      </w:r>
      <w:proofErr w:type="spellEnd"/>
    </w:p>
    <w:p w:rsidR="00C572B4" w:rsidRDefault="00C572B4" w:rsidP="00C572B4">
      <w:pPr>
        <w:rPr>
          <w:rFonts w:cs="David" w:hint="cs"/>
          <w:sz w:val="22"/>
          <w:szCs w:val="22"/>
          <w:rtl/>
        </w:rPr>
      </w:pPr>
      <w:r>
        <w:rPr>
          <w:rFonts w:hint="cs"/>
          <w:sz w:val="26"/>
          <w:szCs w:val="26"/>
          <w:rtl/>
        </w:rPr>
        <w:t xml:space="preserve">בית משפט המחוזי הפחית עונשו של </w:t>
      </w:r>
      <w:proofErr w:type="spellStart"/>
      <w:r>
        <w:rPr>
          <w:rFonts w:hint="cs"/>
          <w:sz w:val="26"/>
          <w:szCs w:val="26"/>
          <w:rtl/>
        </w:rPr>
        <w:t>קופרמן</w:t>
      </w:r>
      <w:proofErr w:type="spellEnd"/>
      <w:r>
        <w:rPr>
          <w:rFonts w:hint="cs"/>
          <w:sz w:val="26"/>
          <w:szCs w:val="26"/>
          <w:rtl/>
        </w:rPr>
        <w:t xml:space="preserve">-סגל וטען כי בית משפט השלום חרג מסמכותו. </w:t>
      </w:r>
      <w:r>
        <w:rPr>
          <w:rFonts w:hint="cs"/>
          <w:sz w:val="22"/>
          <w:szCs w:val="22"/>
          <w:rtl/>
        </w:rPr>
        <w:t>מאת: אלי לוי</w:t>
      </w:r>
    </w:p>
    <w:p w:rsidR="00C572B4" w:rsidRDefault="00C572B4" w:rsidP="00C572B4">
      <w:pPr>
        <w:rPr>
          <w:sz w:val="22"/>
          <w:szCs w:val="22"/>
          <w:rtl/>
        </w:rPr>
        <w:sectPr w:rsidR="00C572B4" w:rsidSect="00C572B4">
          <w:endnotePr>
            <w:numFmt w:val="lowerLetter"/>
          </w:endnotePr>
          <w:pgSz w:w="11907" w:h="16840"/>
          <w:pgMar w:top="1021" w:right="1134" w:bottom="851" w:left="1134" w:header="720" w:footer="720" w:gutter="0"/>
          <w:cols w:space="720"/>
        </w:sectPr>
      </w:pPr>
    </w:p>
    <w:p w:rsidR="00C572B4" w:rsidRDefault="00C572B4" w:rsidP="00C572B4">
      <w:pPr>
        <w:rPr>
          <w:rFonts w:hint="cs"/>
          <w:sz w:val="22"/>
          <w:szCs w:val="22"/>
          <w:rtl/>
        </w:rPr>
      </w:pPr>
      <w:proofErr w:type="spellStart"/>
      <w:r>
        <w:rPr>
          <w:rFonts w:hint="cs"/>
          <w:sz w:val="22"/>
          <w:szCs w:val="22"/>
          <w:rtl/>
        </w:rPr>
        <w:lastRenderedPageBreak/>
        <w:t>קופרמן</w:t>
      </w:r>
      <w:proofErr w:type="spellEnd"/>
      <w:r>
        <w:rPr>
          <w:rFonts w:hint="cs"/>
          <w:sz w:val="22"/>
          <w:szCs w:val="22"/>
          <w:rtl/>
        </w:rPr>
        <w:t xml:space="preserve">-סגל נשפט לפני למעלה משנה בבית משפט השלום בחיפה לאחר שהורשע בשוד של 4.7 מיליון שקל ממשאית </w:t>
      </w:r>
      <w:proofErr w:type="spellStart"/>
      <w:r>
        <w:rPr>
          <w:rFonts w:hint="cs"/>
          <w:sz w:val="22"/>
          <w:szCs w:val="22"/>
          <w:rtl/>
        </w:rPr>
        <w:t>ברינקס</w:t>
      </w:r>
      <w:proofErr w:type="spellEnd"/>
      <w:r>
        <w:rPr>
          <w:rFonts w:hint="cs"/>
          <w:sz w:val="22"/>
          <w:szCs w:val="22"/>
          <w:rtl/>
        </w:rPr>
        <w:t xml:space="preserve"> </w:t>
      </w:r>
    </w:p>
    <w:p w:rsidR="00C572B4" w:rsidRDefault="00C572B4" w:rsidP="00C572B4">
      <w:pPr>
        <w:rPr>
          <w:rFonts w:hint="cs"/>
          <w:sz w:val="22"/>
          <w:szCs w:val="22"/>
          <w:rtl/>
        </w:rPr>
      </w:pPr>
      <w:r>
        <w:rPr>
          <w:rFonts w:hint="cs"/>
          <w:sz w:val="22"/>
          <w:szCs w:val="22"/>
          <w:rtl/>
        </w:rPr>
        <w:t xml:space="preserve">   הפרשה החלה באוגוסט 2003 כאשר התקבלה במשטרת זבולון הודעה על שוד משאית </w:t>
      </w:r>
      <w:proofErr w:type="spellStart"/>
      <w:r>
        <w:rPr>
          <w:rFonts w:hint="cs"/>
          <w:sz w:val="22"/>
          <w:szCs w:val="22"/>
          <w:rtl/>
        </w:rPr>
        <w:t>ברינקס</w:t>
      </w:r>
      <w:proofErr w:type="spellEnd"/>
      <w:r>
        <w:rPr>
          <w:rFonts w:hint="cs"/>
          <w:sz w:val="22"/>
          <w:szCs w:val="22"/>
          <w:rtl/>
        </w:rPr>
        <w:t xml:space="preserve"> בקריות. לאחר סריקות נמצא הרכב נטוש. מחקירה מהירה של תחנת זבולון התברר כי מי שעומד מאחורי השוד הנועז הוא אילן </w:t>
      </w:r>
      <w:proofErr w:type="spellStart"/>
      <w:r>
        <w:rPr>
          <w:rFonts w:hint="cs"/>
          <w:sz w:val="22"/>
          <w:szCs w:val="22"/>
          <w:rtl/>
        </w:rPr>
        <w:t>קופרמן</w:t>
      </w:r>
      <w:proofErr w:type="spellEnd"/>
      <w:r>
        <w:rPr>
          <w:rFonts w:hint="cs"/>
          <w:sz w:val="22"/>
          <w:szCs w:val="22"/>
          <w:rtl/>
        </w:rPr>
        <w:t>-סגל.</w:t>
      </w:r>
    </w:p>
    <w:p w:rsidR="00C572B4" w:rsidRDefault="00C572B4" w:rsidP="00C572B4">
      <w:pPr>
        <w:rPr>
          <w:rFonts w:hint="cs"/>
          <w:sz w:val="22"/>
          <w:szCs w:val="22"/>
          <w:rtl/>
        </w:rPr>
      </w:pPr>
      <w:r>
        <w:rPr>
          <w:rFonts w:hint="cs"/>
          <w:sz w:val="22"/>
          <w:szCs w:val="22"/>
          <w:rtl/>
        </w:rPr>
        <w:t xml:space="preserve">שלושה ימים לאחר השוד התייצב </w:t>
      </w:r>
      <w:proofErr w:type="spellStart"/>
      <w:r>
        <w:rPr>
          <w:rFonts w:hint="cs"/>
          <w:sz w:val="22"/>
          <w:szCs w:val="22"/>
          <w:rtl/>
        </w:rPr>
        <w:t>קופרמן</w:t>
      </w:r>
      <w:proofErr w:type="spellEnd"/>
      <w:r>
        <w:rPr>
          <w:rFonts w:hint="cs"/>
          <w:sz w:val="22"/>
          <w:szCs w:val="22"/>
          <w:rtl/>
        </w:rPr>
        <w:t xml:space="preserve">-סגל במשרדי תחנת זבולון </w:t>
      </w:r>
      <w:r>
        <w:rPr>
          <w:rFonts w:hint="cs"/>
          <w:sz w:val="22"/>
          <w:szCs w:val="22"/>
          <w:rtl/>
        </w:rPr>
        <w:lastRenderedPageBreak/>
        <w:t xml:space="preserve">והסגיר עצמו. בהמשך הגישה נגדו הפרקליטות כתב אישום </w:t>
      </w:r>
      <w:proofErr w:type="spellStart"/>
      <w:r>
        <w:rPr>
          <w:rFonts w:hint="cs"/>
          <w:sz w:val="22"/>
          <w:szCs w:val="22"/>
          <w:rtl/>
        </w:rPr>
        <w:t>וקופרמן</w:t>
      </w:r>
      <w:proofErr w:type="spellEnd"/>
      <w:r>
        <w:rPr>
          <w:rFonts w:hint="cs"/>
          <w:sz w:val="22"/>
          <w:szCs w:val="22"/>
          <w:rtl/>
        </w:rPr>
        <w:t>-סגל נשפט והורשע ביהמ"ש השלום בחיפה.</w:t>
      </w:r>
    </w:p>
    <w:p w:rsidR="00C572B4" w:rsidRDefault="00C572B4" w:rsidP="00C572B4">
      <w:pPr>
        <w:rPr>
          <w:rFonts w:hint="cs"/>
          <w:sz w:val="22"/>
          <w:szCs w:val="22"/>
          <w:rtl/>
        </w:rPr>
      </w:pPr>
      <w:r>
        <w:rPr>
          <w:rFonts w:hint="cs"/>
          <w:sz w:val="22"/>
          <w:szCs w:val="22"/>
          <w:rtl/>
        </w:rPr>
        <w:t xml:space="preserve">   </w:t>
      </w:r>
      <w:proofErr w:type="spellStart"/>
      <w:r>
        <w:rPr>
          <w:rFonts w:hint="cs"/>
          <w:sz w:val="22"/>
          <w:szCs w:val="22"/>
          <w:rtl/>
        </w:rPr>
        <w:t>קופרמן</w:t>
      </w:r>
      <w:proofErr w:type="spellEnd"/>
      <w:r>
        <w:rPr>
          <w:rFonts w:hint="cs"/>
          <w:sz w:val="22"/>
          <w:szCs w:val="22"/>
          <w:rtl/>
        </w:rPr>
        <w:t>-סגל, שסרב לגלות היכן החביא את השלל, ערער על העונש, באמצעות עו"ד אולמן לבית המשפט המחוזי בעיר. בערעור הודיעו לו כי אם ישיב את הכסף הגנוב או חלק ממנו, עשוי הדבר להביא להפחתה בעונשו.</w:t>
      </w:r>
    </w:p>
    <w:p w:rsidR="00C572B4" w:rsidRDefault="00C572B4" w:rsidP="00C572B4">
      <w:pPr>
        <w:rPr>
          <w:rFonts w:hint="cs"/>
          <w:sz w:val="22"/>
          <w:szCs w:val="22"/>
          <w:rtl/>
        </w:rPr>
      </w:pPr>
      <w:r>
        <w:rPr>
          <w:rFonts w:hint="cs"/>
          <w:sz w:val="22"/>
          <w:szCs w:val="22"/>
          <w:rtl/>
        </w:rPr>
        <w:t xml:space="preserve">שלושת השופטים, מנחם נאמן, </w:t>
      </w:r>
      <w:proofErr w:type="spellStart"/>
      <w:r>
        <w:rPr>
          <w:rFonts w:hint="cs"/>
          <w:sz w:val="22"/>
          <w:szCs w:val="22"/>
          <w:rtl/>
        </w:rPr>
        <w:t>ראיק</w:t>
      </w:r>
      <w:proofErr w:type="spellEnd"/>
      <w:r>
        <w:rPr>
          <w:rFonts w:hint="cs"/>
          <w:sz w:val="22"/>
          <w:szCs w:val="22"/>
          <w:rtl/>
        </w:rPr>
        <w:t xml:space="preserve"> </w:t>
      </w:r>
      <w:proofErr w:type="spellStart"/>
      <w:r>
        <w:rPr>
          <w:rFonts w:hint="cs"/>
          <w:sz w:val="22"/>
          <w:szCs w:val="22"/>
          <w:rtl/>
        </w:rPr>
        <w:t>ג'ורג'ורה</w:t>
      </w:r>
      <w:proofErr w:type="spellEnd"/>
      <w:r>
        <w:rPr>
          <w:rFonts w:hint="cs"/>
          <w:sz w:val="22"/>
          <w:szCs w:val="22"/>
          <w:rtl/>
        </w:rPr>
        <w:t xml:space="preserve"> ורון שפירא, נימקו את </w:t>
      </w:r>
      <w:r>
        <w:rPr>
          <w:rFonts w:hint="cs"/>
          <w:sz w:val="22"/>
          <w:szCs w:val="22"/>
          <w:rtl/>
        </w:rPr>
        <w:lastRenderedPageBreak/>
        <w:t xml:space="preserve">החלטתם בכך שבית משפט השלום </w:t>
      </w:r>
      <w:proofErr w:type="spellStart"/>
      <w:r>
        <w:rPr>
          <w:rFonts w:hint="cs"/>
          <w:sz w:val="22"/>
          <w:szCs w:val="22"/>
          <w:rtl/>
        </w:rPr>
        <w:t>החיפה</w:t>
      </w:r>
      <w:proofErr w:type="spellEnd"/>
      <w:r>
        <w:rPr>
          <w:rFonts w:hint="cs"/>
          <w:sz w:val="22"/>
          <w:szCs w:val="22"/>
          <w:rtl/>
        </w:rPr>
        <w:t xml:space="preserve"> שגזר עליו את העונש לפני למעלה משנה חרג מסמכותו. "העונש </w:t>
      </w:r>
      <w:proofErr w:type="spellStart"/>
      <w:r>
        <w:rPr>
          <w:rFonts w:hint="cs"/>
          <w:sz w:val="22"/>
          <w:szCs w:val="22"/>
          <w:rtl/>
        </w:rPr>
        <w:t>המירבי</w:t>
      </w:r>
      <w:proofErr w:type="spellEnd"/>
      <w:r>
        <w:rPr>
          <w:rFonts w:hint="cs"/>
          <w:sz w:val="22"/>
          <w:szCs w:val="22"/>
          <w:rtl/>
        </w:rPr>
        <w:t xml:space="preserve"> אותו רשאי בית המשפט השלום לגזור על העבירות הוא 7 שנים. בפועל גזר בית המשפט 9 שנים ובכך חרג מסמכותו שבחוק", נכתב בהחלטת השופטים.</w:t>
      </w:r>
    </w:p>
    <w:p w:rsidR="00C572B4" w:rsidRDefault="00C572B4" w:rsidP="00C572B4">
      <w:r>
        <w:rPr>
          <w:rFonts w:hint="cs"/>
          <w:sz w:val="22"/>
          <w:szCs w:val="22"/>
          <w:rtl/>
        </w:rPr>
        <w:t xml:space="preserve">   בפרקליטות חיפה הגיבו בזעם רב על ההחלטה ומסרו כי הם שוקלים לערער לביהמ"ש העליון</w:t>
      </w:r>
      <w:r>
        <w:rPr>
          <w:rFonts w:hint="cs"/>
          <w:rtl/>
        </w:rPr>
        <w:t xml:space="preserve">. </w:t>
      </w:r>
    </w:p>
    <w:p w:rsidR="00C572B4" w:rsidRDefault="00C572B4" w:rsidP="00C572B4">
      <w:pPr>
        <w:rPr>
          <w:rFonts w:cs="Miriam"/>
          <w:rtl/>
        </w:rPr>
        <w:sectPr w:rsidR="00C572B4" w:rsidSect="00C572B4">
          <w:endnotePr>
            <w:numFmt w:val="lowerLetter"/>
          </w:endnotePr>
          <w:type w:val="continuous"/>
          <w:pgSz w:w="11907" w:h="16840"/>
          <w:pgMar w:top="1021" w:right="1134" w:bottom="851" w:left="1134" w:header="720" w:footer="720" w:gutter="0"/>
          <w:cols w:num="3" w:sep="1" w:space="709"/>
        </w:sectPr>
      </w:pPr>
    </w:p>
    <w:p w:rsidR="00C572B4" w:rsidRDefault="00C572B4" w:rsidP="00C572B4">
      <w:pPr>
        <w:rPr>
          <w:rFonts w:cs="Miriam" w:hint="cs"/>
          <w:sz w:val="20"/>
          <w:rtl/>
        </w:rPr>
      </w:pPr>
    </w:p>
    <w:p w:rsidR="00C572B4" w:rsidRDefault="00C572B4" w:rsidP="00C572B4">
      <w:pPr>
        <w:rPr>
          <w:sz w:val="60"/>
          <w:szCs w:val="60"/>
        </w:rPr>
      </w:pPr>
      <w:r>
        <w:rPr>
          <w:rFonts w:hint="cs"/>
          <w:sz w:val="60"/>
          <w:szCs w:val="60"/>
          <w:rtl/>
        </w:rPr>
        <w:t xml:space="preserve">תלמיד שהתעלל במורה </w:t>
      </w:r>
      <w:proofErr w:type="spellStart"/>
      <w:r>
        <w:rPr>
          <w:rFonts w:hint="cs"/>
          <w:sz w:val="60"/>
          <w:szCs w:val="60"/>
          <w:rtl/>
        </w:rPr>
        <w:t>חוייב</w:t>
      </w:r>
      <w:proofErr w:type="spellEnd"/>
      <w:r>
        <w:rPr>
          <w:rFonts w:hint="cs"/>
          <w:sz w:val="60"/>
          <w:szCs w:val="60"/>
          <w:rtl/>
        </w:rPr>
        <w:t xml:space="preserve"> לשלם לה פיצויים</w:t>
      </w:r>
    </w:p>
    <w:p w:rsidR="00C572B4" w:rsidRDefault="00C572B4" w:rsidP="00C572B4">
      <w:pPr>
        <w:rPr>
          <w:rFonts w:cs="David" w:hint="cs"/>
          <w:sz w:val="22"/>
          <w:szCs w:val="22"/>
          <w:rtl/>
        </w:rPr>
      </w:pPr>
      <w:r>
        <w:rPr>
          <w:rFonts w:hint="cs"/>
          <w:rtl/>
        </w:rPr>
        <w:t>מאת: רמי דרומי, ארה"ב</w:t>
      </w:r>
      <w:r>
        <w:rPr>
          <w:rFonts w:hint="cs"/>
          <w:sz w:val="22"/>
          <w:szCs w:val="22"/>
          <w:rtl/>
        </w:rPr>
        <w:t xml:space="preserve"> </w:t>
      </w:r>
    </w:p>
    <w:p w:rsidR="00C572B4" w:rsidRDefault="00C572B4" w:rsidP="00C572B4">
      <w:pPr>
        <w:rPr>
          <w:sz w:val="22"/>
          <w:szCs w:val="22"/>
          <w:rtl/>
        </w:rPr>
        <w:sectPr w:rsidR="00C572B4" w:rsidSect="00C572B4">
          <w:endnotePr>
            <w:numFmt w:val="lowerLetter"/>
          </w:endnotePr>
          <w:type w:val="continuous"/>
          <w:pgSz w:w="11907" w:h="16840"/>
          <w:pgMar w:top="1021" w:right="1134" w:bottom="851" w:left="1134" w:header="720" w:footer="720" w:gutter="0"/>
          <w:cols w:space="720"/>
        </w:sectPr>
      </w:pPr>
    </w:p>
    <w:p w:rsidR="00C572B4" w:rsidRDefault="00C572B4" w:rsidP="00C572B4">
      <w:pPr>
        <w:rPr>
          <w:rFonts w:hint="cs"/>
          <w:sz w:val="22"/>
          <w:szCs w:val="22"/>
          <w:rtl/>
        </w:rPr>
      </w:pPr>
      <w:r>
        <w:rPr>
          <w:rFonts w:hint="cs"/>
          <w:sz w:val="22"/>
          <w:szCs w:val="22"/>
          <w:rtl/>
        </w:rPr>
        <w:lastRenderedPageBreak/>
        <w:t>אנדי ברי בן ה-17, תלמיד שביעית בעיר אלכסנדריה שבמדינת קנטקי, נהג להטיל אימה על המורה לספרדית, פרנסיס קוק. הנער הגברתן היה מאיים על חייה ומתעלל בה בכל דרך אפשרית.</w:t>
      </w:r>
    </w:p>
    <w:p w:rsidR="00C572B4" w:rsidRDefault="00C572B4" w:rsidP="00C572B4">
      <w:pPr>
        <w:rPr>
          <w:rFonts w:hint="cs"/>
          <w:sz w:val="22"/>
          <w:szCs w:val="22"/>
          <w:rtl/>
        </w:rPr>
      </w:pPr>
      <w:r>
        <w:rPr>
          <w:rFonts w:hint="cs"/>
          <w:sz w:val="22"/>
          <w:szCs w:val="22"/>
          <w:rtl/>
        </w:rPr>
        <w:t xml:space="preserve">   לאחר שכל הניסיונות ליישר ביניהם את ההדורים עלו בתוהו ומנהל בית-הספר  לא העניק לה גיבוי,  הגישה המורה תביעת פיצויים פרטית נגד התלמיד וכן ביקשה מבית-המשפט צו שיאסור עליו להיכנס לכיתה.</w:t>
      </w:r>
    </w:p>
    <w:p w:rsidR="00C572B4" w:rsidRDefault="00C572B4" w:rsidP="00C572B4">
      <w:pPr>
        <w:rPr>
          <w:rFonts w:hint="cs"/>
          <w:sz w:val="22"/>
          <w:szCs w:val="22"/>
          <w:rtl/>
        </w:rPr>
      </w:pPr>
      <w:r>
        <w:rPr>
          <w:rFonts w:hint="cs"/>
          <w:sz w:val="22"/>
          <w:szCs w:val="22"/>
          <w:rtl/>
        </w:rPr>
        <w:lastRenderedPageBreak/>
        <w:t xml:space="preserve">   חברותיה המורות של גברת קוק לעגו לתמימותה וגם התלמיד הסורר לא התרגש במיוחד. אבל, צוחק מי שצוחק אחרון. לאחר משפט שנמשך ארבעה ימים הרשיע חבר מושבעים את אנדי ופסק שעליו לשלם למורה 25 אלף דולר כעונש על התעללותו וכן 8,700 דולר כפיצוי על סבל נפשי שגרם לה.</w:t>
      </w:r>
    </w:p>
    <w:p w:rsidR="00C572B4" w:rsidRDefault="00C572B4" w:rsidP="00C572B4">
      <w:pPr>
        <w:rPr>
          <w:rFonts w:cs="David" w:hint="cs"/>
          <w:sz w:val="22"/>
          <w:szCs w:val="22"/>
          <w:rtl/>
        </w:rPr>
      </w:pPr>
      <w:r>
        <w:rPr>
          <w:rFonts w:hint="cs"/>
          <w:sz w:val="22"/>
          <w:szCs w:val="22"/>
          <w:rtl/>
        </w:rPr>
        <w:t xml:space="preserve">   כמו כן אסרו על אנדי להיכנס לכיתה וכעת הוא יושב בבית.</w:t>
      </w:r>
    </w:p>
    <w:p w:rsidR="00C572B4" w:rsidRDefault="00C572B4" w:rsidP="00C572B4">
      <w:pPr>
        <w:rPr>
          <w:rtl/>
        </w:rPr>
        <w:sectPr w:rsidR="00C572B4" w:rsidSect="00C572B4">
          <w:endnotePr>
            <w:numFmt w:val="lowerLetter"/>
          </w:endnotePr>
          <w:type w:val="continuous"/>
          <w:pgSz w:w="11907" w:h="16840"/>
          <w:pgMar w:top="1021" w:right="1134" w:bottom="851" w:left="1134" w:header="720" w:footer="720" w:gutter="0"/>
          <w:cols w:num="2" w:sep="1" w:space="709"/>
        </w:sectPr>
      </w:pPr>
    </w:p>
    <w:p w:rsidR="00C572B4" w:rsidRDefault="00C572B4" w:rsidP="00C572B4">
      <w:pPr>
        <w:rPr>
          <w:rFonts w:hint="cs"/>
          <w:rtl/>
        </w:rPr>
      </w:pPr>
    </w:p>
    <w:p w:rsidR="00C572B4" w:rsidRDefault="00C572B4" w:rsidP="00C572B4">
      <w:pPr>
        <w:rPr>
          <w:rFonts w:hint="cs"/>
          <w:sz w:val="60"/>
          <w:szCs w:val="60"/>
          <w:rtl/>
        </w:rPr>
      </w:pPr>
      <w:r>
        <w:rPr>
          <w:rFonts w:hint="cs"/>
          <w:sz w:val="60"/>
          <w:szCs w:val="60"/>
          <w:rtl/>
        </w:rPr>
        <w:t>נפטר מפצעיו אדם שנדקר בשבוע שעבר בלוד</w:t>
      </w:r>
    </w:p>
    <w:p w:rsidR="00C572B4" w:rsidRDefault="00C572B4" w:rsidP="00C572B4">
      <w:pPr>
        <w:rPr>
          <w:rtl/>
        </w:rPr>
        <w:sectPr w:rsidR="00C572B4" w:rsidSect="00C572B4">
          <w:endnotePr>
            <w:numFmt w:val="lowerLetter"/>
          </w:endnotePr>
          <w:type w:val="continuous"/>
          <w:pgSz w:w="11907" w:h="16840"/>
          <w:pgMar w:top="1021" w:right="1134" w:bottom="851" w:left="1134" w:header="720" w:footer="720" w:gutter="0"/>
          <w:cols w:space="720"/>
        </w:sectPr>
      </w:pPr>
    </w:p>
    <w:p w:rsidR="00C572B4" w:rsidRDefault="00C572B4" w:rsidP="00C572B4">
      <w:pPr>
        <w:rPr>
          <w:rFonts w:hint="cs"/>
          <w:rtl/>
        </w:rPr>
      </w:pPr>
      <w:r>
        <w:rPr>
          <w:rFonts w:hint="cs"/>
          <w:rtl/>
        </w:rPr>
        <w:lastRenderedPageBreak/>
        <w:t xml:space="preserve">הגבר בשנות ה-20 לחייו, שנדקר ביום א' שעבר בלוד, נפטר הבוקר מפצעיו בביה"ח. </w:t>
      </w:r>
      <w:proofErr w:type="spellStart"/>
      <w:r>
        <w:rPr>
          <w:rFonts w:hint="cs"/>
          <w:rtl/>
        </w:rPr>
        <w:t>בארוע</w:t>
      </w:r>
      <w:proofErr w:type="spellEnd"/>
      <w:r>
        <w:rPr>
          <w:rFonts w:hint="cs"/>
          <w:rtl/>
        </w:rPr>
        <w:t xml:space="preserve"> הדקירה, שארע ליד הקיוסק בו עבד, נפצעה קל גם דודתו של ההרוג, </w:t>
      </w:r>
      <w:proofErr w:type="spellStart"/>
      <w:r>
        <w:rPr>
          <w:rFonts w:hint="cs"/>
          <w:rtl/>
        </w:rPr>
        <w:t>שנסתה</w:t>
      </w:r>
      <w:proofErr w:type="spellEnd"/>
      <w:r>
        <w:rPr>
          <w:rFonts w:hint="cs"/>
          <w:rtl/>
        </w:rPr>
        <w:t xml:space="preserve"> לסייע לו. דוברת המשטרה מסרה כי שלושה חשודים בדקירה שנעצרו על ידי המשטרה שוחררו </w:t>
      </w:r>
      <w:r>
        <w:rPr>
          <w:rFonts w:hint="cs"/>
          <w:rtl/>
        </w:rPr>
        <w:lastRenderedPageBreak/>
        <w:t xml:space="preserve">בשבוע שעבר בערבות. אמש נעצרו שני חשודים עיקריים ובשעה זו הם מובאים להארכת מעצרם בבימ"ש רמלה, כשסעיף האישום מולם שונה לרצח, </w:t>
      </w:r>
      <w:proofErr w:type="spellStart"/>
      <w:r>
        <w:rPr>
          <w:rFonts w:hint="cs"/>
          <w:rtl/>
        </w:rPr>
        <w:t>מנסיון</w:t>
      </w:r>
      <w:proofErr w:type="spellEnd"/>
      <w:r>
        <w:rPr>
          <w:rFonts w:hint="cs"/>
          <w:rtl/>
        </w:rPr>
        <w:t xml:space="preserve"> לרצח.</w:t>
      </w:r>
    </w:p>
    <w:p w:rsidR="00C572B4" w:rsidRDefault="00C572B4" w:rsidP="00C572B4">
      <w:pPr>
        <w:rPr>
          <w:rtl/>
        </w:rPr>
        <w:sectPr w:rsidR="00C572B4" w:rsidSect="00C572B4">
          <w:endnotePr>
            <w:numFmt w:val="lowerLetter"/>
          </w:endnotePr>
          <w:type w:val="continuous"/>
          <w:pgSz w:w="11907" w:h="16840"/>
          <w:pgMar w:top="1021" w:right="1134" w:bottom="851" w:left="1134" w:header="720" w:footer="720" w:gutter="0"/>
          <w:cols w:num="2" w:sep="1" w:space="720"/>
          <w:bidi/>
        </w:sectPr>
      </w:pPr>
    </w:p>
    <w:p w:rsidR="00C572B4" w:rsidRDefault="00C572B4" w:rsidP="00C572B4">
      <w:pPr>
        <w:rPr>
          <w:rFonts w:hint="cs"/>
          <w:rtl/>
        </w:rPr>
      </w:pPr>
    </w:p>
    <w:tbl>
      <w:tblPr>
        <w:tblpPr w:leftFromText="180" w:rightFromText="180" w:vertAnchor="text" w:horzAnchor="margin" w:tblpXSpec="center" w:tblpY="461"/>
        <w:bidiVisual/>
        <w:tblW w:w="0" w:type="auto"/>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111"/>
      </w:tblGrid>
      <w:tr w:rsidR="00C572B4" w:rsidRPr="004E29D4" w:rsidTr="00C572B4">
        <w:tc>
          <w:tcPr>
            <w:tcW w:w="9214" w:type="dxa"/>
            <w:gridSpan w:val="2"/>
            <w:tcBorders>
              <w:top w:val="single" w:sz="4" w:space="0" w:color="auto"/>
              <w:left w:val="single" w:sz="4" w:space="0" w:color="auto"/>
              <w:bottom w:val="single" w:sz="4" w:space="0" w:color="auto"/>
              <w:right w:val="single" w:sz="4" w:space="0" w:color="auto"/>
            </w:tcBorders>
            <w:shd w:val="clear" w:color="auto" w:fill="auto"/>
          </w:tcPr>
          <w:p w:rsidR="00C572B4" w:rsidRPr="004E29D4" w:rsidRDefault="00C572B4" w:rsidP="00C572B4">
            <w:pPr>
              <w:jc w:val="center"/>
              <w:rPr>
                <w:b/>
                <w:bCs/>
                <w:i/>
                <w:iCs/>
              </w:rPr>
            </w:pPr>
            <w:r w:rsidRPr="004E29D4">
              <w:rPr>
                <w:rFonts w:hint="cs"/>
                <w:b/>
                <w:bCs/>
                <w:i/>
                <w:iCs/>
                <w:rtl/>
              </w:rPr>
              <w:t>אוצר מונחים משפטיים</w:t>
            </w:r>
          </w:p>
        </w:tc>
      </w:tr>
      <w:tr w:rsidR="00C572B4" w:rsidRPr="004E29D4" w:rsidTr="00C572B4">
        <w:tc>
          <w:tcPr>
            <w:tcW w:w="5103" w:type="dxa"/>
            <w:tcBorders>
              <w:top w:val="single" w:sz="4" w:space="0" w:color="auto"/>
              <w:left w:val="single" w:sz="4" w:space="0" w:color="auto"/>
              <w:bottom w:val="single" w:sz="4" w:space="0" w:color="auto"/>
              <w:right w:val="single" w:sz="4" w:space="0" w:color="auto"/>
            </w:tcBorders>
            <w:shd w:val="clear" w:color="auto" w:fill="auto"/>
          </w:tcPr>
          <w:p w:rsidR="00C572B4" w:rsidRPr="004E29D4" w:rsidRDefault="00C572B4" w:rsidP="00C572B4">
            <w:pPr>
              <w:rPr>
                <w:rFonts w:cs="David"/>
                <w:rtl/>
              </w:rPr>
            </w:pPr>
            <w:r w:rsidRPr="004E29D4">
              <w:rPr>
                <w:rFonts w:cs="Miriam" w:hint="cs"/>
                <w:b/>
                <w:bCs/>
                <w:rtl/>
              </w:rPr>
              <w:t>מילים הקשורות למשפט פלילי</w:t>
            </w:r>
            <w:r w:rsidRPr="004E29D4">
              <w:rPr>
                <w:rFonts w:cs="Miriam" w:hint="cs"/>
                <w:rtl/>
              </w:rPr>
              <w:t>:</w:t>
            </w:r>
          </w:p>
          <w:p w:rsidR="00C572B4" w:rsidRPr="004E29D4" w:rsidRDefault="00C572B4" w:rsidP="00C572B4">
            <w:pPr>
              <w:rPr>
                <w:rFonts w:cs="David"/>
              </w:rPr>
            </w:pPr>
            <w:r w:rsidRPr="004E29D4">
              <w:rPr>
                <w:rFonts w:ascii="Arial" w:hAnsi="Arial" w:cs="Miriam" w:hint="cs"/>
                <w:rtl/>
              </w:rPr>
              <w:t>עבירה, פשע, נאשם/מואשם, אשם, חשוד, כתב אישום, מדינת ישראל, פרקליטות, קטגור, סנגור, פסק דין, הכרעת דין, גזר דין, מאסר, הורשע</w:t>
            </w:r>
            <w:r w:rsidRPr="004E29D4">
              <w:rPr>
                <w:rFonts w:cs="Miriam" w:hint="cs"/>
                <w:rtl/>
              </w:rPr>
              <w:t>, ערבות, הארכת מעצר, טיעונים לעונש, משטרה.</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572B4" w:rsidRPr="004E29D4" w:rsidRDefault="00C572B4" w:rsidP="00C572B4">
            <w:pPr>
              <w:rPr>
                <w:rFonts w:cs="David"/>
                <w:b/>
                <w:bCs/>
                <w:rtl/>
              </w:rPr>
            </w:pPr>
            <w:r w:rsidRPr="004E29D4">
              <w:rPr>
                <w:rFonts w:cs="Miriam" w:hint="cs"/>
                <w:b/>
                <w:bCs/>
                <w:rtl/>
              </w:rPr>
              <w:t>מילים הקשורות למשפט אזרחי:</w:t>
            </w:r>
          </w:p>
          <w:p w:rsidR="00C572B4" w:rsidRPr="004E29D4" w:rsidRDefault="00C572B4" w:rsidP="00C572B4">
            <w:pPr>
              <w:rPr>
                <w:rFonts w:cs="David"/>
              </w:rPr>
            </w:pPr>
            <w:r w:rsidRPr="004E29D4">
              <w:rPr>
                <w:rFonts w:ascii="Arial" w:hAnsi="Arial" w:cs="Miriam" w:hint="cs"/>
                <w:rtl/>
              </w:rPr>
              <w:t>נתבע, תובע, כתב הגנה, כתב תביעה, נזקים, פיצויים</w:t>
            </w:r>
            <w:r w:rsidRPr="004E29D4">
              <w:rPr>
                <w:rFonts w:cs="Miriam" w:hint="cs"/>
                <w:rtl/>
              </w:rPr>
              <w:t>, צו מניעה</w:t>
            </w:r>
          </w:p>
        </w:tc>
      </w:tr>
    </w:tbl>
    <w:p w:rsidR="00C572B4" w:rsidRDefault="00C572B4" w:rsidP="00C572B4">
      <w:pPr>
        <w:rPr>
          <w:rtl/>
        </w:rPr>
        <w:sectPr w:rsidR="00C572B4" w:rsidSect="00C572B4">
          <w:endnotePr>
            <w:numFmt w:val="lowerLetter"/>
          </w:endnotePr>
          <w:type w:val="continuous"/>
          <w:pgSz w:w="11907" w:h="16840"/>
          <w:pgMar w:top="1021" w:right="1134" w:bottom="851" w:left="1134" w:header="720" w:footer="720" w:gutter="0"/>
          <w:cols w:space="720"/>
        </w:sectPr>
      </w:pPr>
    </w:p>
    <w:p w:rsidR="00153A9D" w:rsidRDefault="00153A9D" w:rsidP="00C572B4"/>
    <w:sectPr w:rsidR="00153A9D" w:rsidSect="00C572B4">
      <w:type w:val="continuous"/>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2B4"/>
    <w:rsid w:val="00153A9D"/>
    <w:rsid w:val="008D7022"/>
    <w:rsid w:val="00C572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2B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2B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A204E-094E-4821-AEA4-715F1A7C1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450</Words>
  <Characters>2253</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2013-02-27T07:19:00Z</dcterms:created>
  <dcterms:modified xsi:type="dcterms:W3CDTF">2013-02-27T07:26:00Z</dcterms:modified>
</cp:coreProperties>
</file>